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939C" w14:textId="57237037" w:rsidR="009A5E59" w:rsidRDefault="00B86D5B" w:rsidP="004F3775">
      <w:pPr>
        <w:jc w:val="right"/>
      </w:pPr>
      <w:proofErr w:type="spellStart"/>
      <w:r>
        <w:t>Warszawa</w:t>
      </w:r>
      <w:proofErr w:type="spellEnd"/>
      <w:r>
        <w:t>, 04</w:t>
      </w:r>
      <w:r w:rsidR="004F3775">
        <w:t>.09.2020.</w:t>
      </w:r>
    </w:p>
    <w:p w14:paraId="47D88DBB" w14:textId="77777777" w:rsidR="009A5E59" w:rsidRPr="00DB2983" w:rsidRDefault="009A5E59" w:rsidP="009A5E59">
      <w:pPr>
        <w:pStyle w:val="Ttulo1"/>
        <w:shd w:val="clear" w:color="auto" w:fill="FFFFFF"/>
        <w:spacing w:before="0" w:after="150"/>
        <w:jc w:val="center"/>
        <w:rPr>
          <w:rFonts w:ascii="Verdana" w:eastAsia="Times New Roman" w:hAnsi="Verdana"/>
          <w:sz w:val="20"/>
          <w:szCs w:val="20"/>
          <w:lang w:val="pl-PL" w:eastAsia="en-US"/>
        </w:rPr>
      </w:pPr>
    </w:p>
    <w:p w14:paraId="6DD90073" w14:textId="43C2F1F5" w:rsidR="003072B4" w:rsidRPr="003F3779" w:rsidRDefault="003072B4" w:rsidP="009A5E59">
      <w:pPr>
        <w:pStyle w:val="Ttulo1"/>
        <w:shd w:val="clear" w:color="auto" w:fill="FFFFFF"/>
        <w:spacing w:before="0" w:after="150"/>
        <w:jc w:val="center"/>
        <w:rPr>
          <w:rFonts w:ascii="Verdana" w:eastAsia="Times New Roman" w:hAnsi="Verdana"/>
          <w:sz w:val="22"/>
          <w:szCs w:val="22"/>
          <w:lang w:val="pl-PL" w:eastAsia="en-US"/>
        </w:rPr>
      </w:pPr>
      <w:r>
        <w:rPr>
          <w:rFonts w:ascii="Verdana" w:eastAsia="Times New Roman" w:hAnsi="Verdana"/>
          <w:sz w:val="22"/>
          <w:szCs w:val="22"/>
          <w:lang w:val="pl-PL" w:eastAsia="en-US"/>
        </w:rPr>
        <w:t xml:space="preserve">Antykoncepcja w czasach pandemii </w:t>
      </w:r>
    </w:p>
    <w:p w14:paraId="59C21267" w14:textId="7334D107" w:rsidR="009A5E59" w:rsidRDefault="00786F90" w:rsidP="009A5E59">
      <w:pPr>
        <w:pStyle w:val="Ttulo1"/>
        <w:shd w:val="clear" w:color="auto" w:fill="FFFFFF"/>
        <w:spacing w:before="0" w:after="150"/>
        <w:jc w:val="center"/>
        <w:rPr>
          <w:rFonts w:ascii="Verdana" w:eastAsia="Times New Roman" w:hAnsi="Verdana"/>
          <w:sz w:val="20"/>
          <w:szCs w:val="20"/>
          <w:lang w:val="pl-PL" w:eastAsia="en-US"/>
        </w:rPr>
      </w:pPr>
      <w:r w:rsidRPr="003F3779">
        <w:rPr>
          <w:rFonts w:ascii="Verdana" w:eastAsia="Times New Roman" w:hAnsi="Verdana"/>
          <w:sz w:val="20"/>
          <w:szCs w:val="20"/>
          <w:lang w:val="pl-PL" w:eastAsia="en-US"/>
        </w:rPr>
        <w:t xml:space="preserve">Nowa </w:t>
      </w:r>
      <w:r>
        <w:rPr>
          <w:rFonts w:ascii="Verdana" w:eastAsia="Times New Roman" w:hAnsi="Verdana"/>
          <w:sz w:val="20"/>
          <w:szCs w:val="20"/>
          <w:lang w:val="pl-PL" w:eastAsia="en-US"/>
        </w:rPr>
        <w:t>pigułka</w:t>
      </w:r>
      <w:r w:rsidR="003F3779">
        <w:rPr>
          <w:rFonts w:ascii="Verdana" w:eastAsia="Times New Roman" w:hAnsi="Verdana"/>
          <w:sz w:val="20"/>
          <w:szCs w:val="20"/>
          <w:lang w:val="pl-PL" w:eastAsia="en-US"/>
        </w:rPr>
        <w:t xml:space="preserve"> </w:t>
      </w:r>
      <w:r w:rsidR="00D648E1">
        <w:rPr>
          <w:rFonts w:ascii="Verdana" w:eastAsia="Times New Roman" w:hAnsi="Verdana"/>
          <w:sz w:val="20"/>
          <w:szCs w:val="20"/>
          <w:lang w:val="pl-PL" w:eastAsia="en-US"/>
        </w:rPr>
        <w:t>hormonalna nie</w:t>
      </w:r>
      <w:bookmarkStart w:id="0" w:name="_GoBack"/>
      <w:bookmarkEnd w:id="0"/>
      <w:r w:rsidR="003E043F">
        <w:rPr>
          <w:rFonts w:ascii="Verdana" w:eastAsia="Times New Roman" w:hAnsi="Verdana"/>
          <w:sz w:val="20"/>
          <w:szCs w:val="20"/>
          <w:lang w:val="pl-PL" w:eastAsia="en-US"/>
        </w:rPr>
        <w:t>zawierająca</w:t>
      </w:r>
      <w:r w:rsidR="00AB4BB2">
        <w:rPr>
          <w:rFonts w:ascii="Verdana" w:eastAsia="Times New Roman" w:hAnsi="Verdana"/>
          <w:sz w:val="20"/>
          <w:szCs w:val="20"/>
          <w:lang w:val="pl-PL" w:eastAsia="en-US"/>
        </w:rPr>
        <w:t xml:space="preserve"> estrogenu</w:t>
      </w:r>
      <w:r w:rsidR="00E05E55">
        <w:rPr>
          <w:rFonts w:ascii="Verdana" w:eastAsia="Times New Roman" w:hAnsi="Verdana"/>
          <w:sz w:val="20"/>
          <w:szCs w:val="20"/>
          <w:lang w:val="pl-PL" w:eastAsia="en-US"/>
        </w:rPr>
        <w:t xml:space="preserve"> </w:t>
      </w:r>
      <w:r w:rsidR="00F221D2" w:rsidRPr="00F221D2">
        <w:rPr>
          <w:rFonts w:ascii="Verdana" w:eastAsia="Times New Roman" w:hAnsi="Verdana"/>
          <w:sz w:val="20"/>
          <w:szCs w:val="20"/>
          <w:lang w:val="pl-PL" w:eastAsia="en-US"/>
        </w:rPr>
        <w:t>bezpieczną form</w:t>
      </w:r>
      <w:r w:rsidR="00953810">
        <w:rPr>
          <w:rFonts w:ascii="Verdana" w:eastAsia="Times New Roman" w:hAnsi="Verdana"/>
          <w:sz w:val="20"/>
          <w:szCs w:val="20"/>
          <w:lang w:val="pl-PL" w:eastAsia="en-US"/>
        </w:rPr>
        <w:t>ą</w:t>
      </w:r>
      <w:r w:rsidR="00F221D2" w:rsidRPr="00F221D2">
        <w:rPr>
          <w:rFonts w:ascii="Verdana" w:eastAsia="Times New Roman" w:hAnsi="Verdana"/>
          <w:sz w:val="20"/>
          <w:szCs w:val="20"/>
          <w:lang w:val="pl-PL" w:eastAsia="en-US"/>
        </w:rPr>
        <w:t xml:space="preserve"> antykoncepcji </w:t>
      </w:r>
      <w:r w:rsidR="00B61182">
        <w:rPr>
          <w:rFonts w:ascii="Verdana" w:eastAsia="Times New Roman" w:hAnsi="Verdana"/>
          <w:sz w:val="20"/>
          <w:szCs w:val="20"/>
          <w:lang w:val="pl-PL" w:eastAsia="en-US"/>
        </w:rPr>
        <w:t>w dobie</w:t>
      </w:r>
      <w:r w:rsidR="00FA74E8">
        <w:rPr>
          <w:rFonts w:ascii="Verdana" w:eastAsia="Times New Roman" w:hAnsi="Verdana"/>
          <w:sz w:val="20"/>
          <w:szCs w:val="20"/>
          <w:lang w:val="pl-PL" w:eastAsia="en-US"/>
        </w:rPr>
        <w:t xml:space="preserve"> </w:t>
      </w:r>
      <w:r w:rsidR="00F221D2">
        <w:rPr>
          <w:rFonts w:ascii="Verdana" w:eastAsia="Times New Roman" w:hAnsi="Verdana"/>
          <w:sz w:val="20"/>
          <w:szCs w:val="20"/>
          <w:lang w:val="pl-PL" w:eastAsia="en-US"/>
        </w:rPr>
        <w:t>SARS</w:t>
      </w:r>
      <w:r w:rsidR="003E043F">
        <w:rPr>
          <w:rFonts w:ascii="Verdana" w:eastAsia="Times New Roman" w:hAnsi="Verdana"/>
          <w:sz w:val="20"/>
          <w:szCs w:val="20"/>
          <w:lang w:val="pl-PL" w:eastAsia="en-US"/>
        </w:rPr>
        <w:t>-</w:t>
      </w:r>
      <w:r w:rsidR="00B61182">
        <w:rPr>
          <w:rFonts w:ascii="Verdana" w:eastAsia="Times New Roman" w:hAnsi="Verdana"/>
          <w:sz w:val="20"/>
          <w:szCs w:val="20"/>
          <w:lang w:val="pl-PL" w:eastAsia="en-US"/>
        </w:rPr>
        <w:t>CoV</w:t>
      </w:r>
      <w:r w:rsidR="00F221D2">
        <w:rPr>
          <w:rFonts w:ascii="Verdana" w:eastAsia="Times New Roman" w:hAnsi="Verdana"/>
          <w:sz w:val="20"/>
          <w:szCs w:val="20"/>
          <w:lang w:val="pl-PL" w:eastAsia="en-US"/>
        </w:rPr>
        <w:t>-</w:t>
      </w:r>
      <w:r w:rsidR="00E05E55">
        <w:rPr>
          <w:rFonts w:ascii="Verdana" w:eastAsia="Times New Roman" w:hAnsi="Verdana"/>
          <w:sz w:val="20"/>
          <w:szCs w:val="20"/>
          <w:lang w:val="pl-PL" w:eastAsia="en-US"/>
        </w:rPr>
        <w:t>2</w:t>
      </w:r>
    </w:p>
    <w:p w14:paraId="5F54C00B" w14:textId="615321FA" w:rsidR="00F42117" w:rsidRPr="00F42117" w:rsidRDefault="00F42117" w:rsidP="00F42117">
      <w:pPr>
        <w:spacing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val="pl-PL"/>
        </w:rPr>
      </w:pPr>
    </w:p>
    <w:p w14:paraId="3F1C8956" w14:textId="722ADDAE" w:rsidR="00EB37C2" w:rsidRDefault="005E3CB8" w:rsidP="00F42117">
      <w:pPr>
        <w:pStyle w:val="Prrafodelista"/>
        <w:spacing w:after="0"/>
        <w:ind w:left="0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</w:pPr>
      <w:r w:rsidRPr="000707E8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Obecna sytuacja związana z pandemią COVID-19</w:t>
      </w:r>
      <w:r w:rsid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</w:t>
      </w:r>
      <w:r w:rsidR="003F6532" w:rsidRP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wpłynęła </w:t>
      </w:r>
      <w:r w:rsid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na</w:t>
      </w:r>
      <w:r w:rsidR="003F6532" w:rsidRP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wszystkie sfery</w:t>
      </w:r>
      <w:r w:rsid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naszego</w:t>
      </w:r>
      <w:r w:rsidR="003F6532" w:rsidRP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życia, w szczególn</w:t>
      </w:r>
      <w:r w:rsid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ości na system ochrony zdrowia. Bardzo dużo</w:t>
      </w:r>
      <w:r w:rsidR="003F6532" w:rsidRP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mówi się o chorobach przew</w:t>
      </w:r>
      <w:r w:rsid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lekłych</w:t>
      </w:r>
      <w:r w:rsidR="00DB2983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czy</w:t>
      </w:r>
      <w:r w:rsid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probl</w:t>
      </w:r>
      <w:r w:rsidR="003F6532" w:rsidRP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emach z dostępnością</w:t>
      </w:r>
      <w:r w:rsidR="00F217E7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do</w:t>
      </w:r>
      <w:r w:rsidR="003F6532" w:rsidRP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</w:t>
      </w:r>
      <w:r w:rsid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tradycyjnych wizyt i</w:t>
      </w:r>
      <w:r w:rsidR="00EB6F6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 </w:t>
      </w:r>
      <w:r w:rsidR="003F6532" w:rsidRPr="003F653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lekarzy</w:t>
      </w:r>
      <w:r w:rsidR="00F217E7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. </w:t>
      </w:r>
      <w:r w:rsidR="00EB37C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Tymczasem pandemia </w:t>
      </w:r>
      <w:r w:rsidRPr="000707E8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nie pozostaje bez wpływu również n</w:t>
      </w:r>
      <w:r w:rsidR="00EB37C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a obszar poradnictwa w </w:t>
      </w:r>
      <w:r w:rsidR="00360436" w:rsidRPr="000707E8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zakresie antykoncepcji hormonalnej. </w:t>
      </w:r>
      <w:r w:rsidRPr="000707E8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Środowiska naukowe zwracają </w:t>
      </w:r>
      <w:r w:rsidR="00786F90" w:rsidRPr="000707E8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uwagę </w:t>
      </w:r>
      <w:r w:rsidRPr="000707E8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na konieczność zmian </w:t>
      </w:r>
      <w:r w:rsidR="00EB37C2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również </w:t>
      </w:r>
      <w:r w:rsidRPr="000707E8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w </w:t>
      </w:r>
      <w:r w:rsidR="00360436" w:rsidRPr="000707E8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tym obszarze. </w:t>
      </w:r>
    </w:p>
    <w:p w14:paraId="187D6E67" w14:textId="77777777" w:rsidR="00EB37C2" w:rsidRPr="00EB37C2" w:rsidRDefault="00EB37C2" w:rsidP="00F42117">
      <w:pPr>
        <w:pStyle w:val="Prrafodelista"/>
        <w:spacing w:after="0"/>
        <w:ind w:left="0"/>
        <w:jc w:val="both"/>
        <w:rPr>
          <w:rFonts w:ascii="Verdana" w:eastAsia="Times New Roman" w:hAnsi="Verdana"/>
          <w:color w:val="000000" w:themeColor="text1"/>
          <w:sz w:val="20"/>
          <w:szCs w:val="20"/>
          <w:lang w:val="pl-PL"/>
        </w:rPr>
      </w:pPr>
    </w:p>
    <w:p w14:paraId="34D62A04" w14:textId="2FDC5981" w:rsidR="005A61E4" w:rsidRDefault="00360436" w:rsidP="00F42117">
      <w:pPr>
        <w:pStyle w:val="Prrafodelista"/>
        <w:spacing w:after="0"/>
        <w:ind w:left="0"/>
        <w:jc w:val="both"/>
        <w:rPr>
          <w:rFonts w:ascii="Verdana" w:eastAsia="Times New Roman" w:hAnsi="Verdana"/>
          <w:color w:val="000000" w:themeColor="text1"/>
          <w:sz w:val="20"/>
          <w:szCs w:val="20"/>
          <w:lang w:val="pl-PL"/>
        </w:rPr>
      </w:pPr>
      <w:r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Publikowane przez ostatnie lata badania pokazały, że złożona antykoncepcja hormonalna </w:t>
      </w:r>
      <w:r w:rsidR="00EB37C2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(</w:t>
      </w:r>
      <w:proofErr w:type="spellStart"/>
      <w:r w:rsidR="00EB37C2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estrogenowo-progestagenowa</w:t>
      </w:r>
      <w:proofErr w:type="spellEnd"/>
      <w:r w:rsidR="00EB37C2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)</w:t>
      </w:r>
      <w:r w:rsid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 </w:t>
      </w:r>
      <w:r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zwiększa ryzyko żylnej choroby zakrzepowo-zatorowej (</w:t>
      </w:r>
      <w:proofErr w:type="spellStart"/>
      <w:r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ŻChZZ</w:t>
      </w:r>
      <w:proofErr w:type="spellEnd"/>
      <w:r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).</w:t>
      </w:r>
      <w:r w:rsidR="00786F90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 W przebiegu </w:t>
      </w:r>
      <w:r w:rsid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zapalenia płuc wywoływanego przez </w:t>
      </w:r>
      <w:r w:rsidR="00786F90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COVID-19, we wszystkich stadiach, wzrasta ilość podobnych powikłań. </w:t>
      </w:r>
      <w:r w:rsidR="00E365A0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Ze względu na towarzyszące </w:t>
      </w:r>
      <w:proofErr w:type="spellStart"/>
      <w:r w:rsidR="00E365A0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koronawirusowi</w:t>
      </w:r>
      <w:proofErr w:type="spellEnd"/>
      <w:r w:rsidR="00E365A0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 zaburzenia </w:t>
      </w:r>
      <w:proofErr w:type="spellStart"/>
      <w:r w:rsidR="00E365A0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prozakrzepowe</w:t>
      </w:r>
      <w:proofErr w:type="spellEnd"/>
      <w:r w:rsidR="00E365A0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 eksperci rekomendują zastosowanie takiej metody antykoncepcji, która ma wysoki profil bezpieczeństwa.</w:t>
      </w:r>
      <w:r w:rsidR="00FA74E8" w:rsidRPr="00EB37C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 </w:t>
      </w:r>
    </w:p>
    <w:p w14:paraId="33626B20" w14:textId="61B48C7B" w:rsidR="00EB6F62" w:rsidRDefault="00EB6F62" w:rsidP="00F42117">
      <w:pPr>
        <w:pStyle w:val="Prrafodelista"/>
        <w:spacing w:after="0"/>
        <w:ind w:left="0"/>
        <w:jc w:val="both"/>
        <w:rPr>
          <w:rFonts w:ascii="Verdana" w:eastAsia="Times New Roman" w:hAnsi="Verdana"/>
          <w:color w:val="000000" w:themeColor="text1"/>
          <w:sz w:val="20"/>
          <w:szCs w:val="20"/>
          <w:lang w:val="pl-PL"/>
        </w:rPr>
      </w:pPr>
    </w:p>
    <w:p w14:paraId="667E2D10" w14:textId="6620D7BD" w:rsidR="00EB6F62" w:rsidRDefault="00EB6F62" w:rsidP="00F42117">
      <w:pPr>
        <w:pStyle w:val="Prrafodelista"/>
        <w:spacing w:after="0"/>
        <w:ind w:left="0"/>
        <w:jc w:val="both"/>
        <w:rPr>
          <w:rFonts w:ascii="Verdana" w:eastAsia="Times New Roman" w:hAnsi="Verdana"/>
          <w:color w:val="000000" w:themeColor="text1"/>
          <w:sz w:val="20"/>
          <w:szCs w:val="20"/>
          <w:lang w:val="pl-P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W wyborze metody należy uwzględnić przede wszystkim wspomniany profil bezpieczeństwa oraz, co istotne w obecnym czasie</w:t>
      </w:r>
      <w:r w:rsidR="00530CFC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, jej dostępność. Antykoncepcja długoterminowa</w:t>
      </w:r>
      <w:r w:rsidR="00AA2299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 wymagająca</w:t>
      </w:r>
      <w:r w:rsidR="00530CFC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 aplikacji po</w:t>
      </w:r>
      <w:r w:rsidR="00AA2299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dczas tradycyjnej wizyty, cieszy</w:t>
      </w:r>
      <w:r w:rsidR="00530CFC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 się obecnie mniejszym powodzeniem niż d</w:t>
      </w:r>
      <w:r w:rsidR="00922E3C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oustna antykoncepcja hormonalna, czy wskazywana j</w:t>
      </w:r>
      <w:r w:rsidR="00802C02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ako jedna z najczęstszych metod, </w:t>
      </w:r>
      <w:r w:rsidR="00922E3C" w:rsidRPr="00922E3C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prezerwatywa</w:t>
      </w:r>
      <w:r w:rsidR="00922E3C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.</w:t>
      </w:r>
    </w:p>
    <w:p w14:paraId="518B1FE3" w14:textId="61EDF307" w:rsidR="002028D7" w:rsidRDefault="002028D7" w:rsidP="00F42117">
      <w:pPr>
        <w:pStyle w:val="Prrafodelista"/>
        <w:spacing w:after="0"/>
        <w:ind w:left="0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</w:pPr>
    </w:p>
    <w:p w14:paraId="5DFF6955" w14:textId="77777777" w:rsidR="00DB2983" w:rsidRPr="00F42117" w:rsidRDefault="00DB2983" w:rsidP="00DB2983">
      <w:pPr>
        <w:pStyle w:val="Prrafodelista"/>
        <w:spacing w:after="0"/>
        <w:ind w:left="0"/>
        <w:jc w:val="both"/>
        <w:rPr>
          <w:rFonts w:ascii="Verdana" w:eastAsia="Times New Roman" w:hAnsi="Verdana"/>
          <w:color w:val="000000" w:themeColor="text1"/>
          <w:sz w:val="20"/>
          <w:szCs w:val="20"/>
          <w:lang w:val="pl-PL"/>
        </w:rPr>
      </w:pPr>
      <w:r w:rsidRPr="00F42117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Nowe pigułki antykoncepcyjne już dostępne w Polsce</w:t>
      </w:r>
    </w:p>
    <w:p w14:paraId="00913734" w14:textId="77777777" w:rsidR="00DB2983" w:rsidRPr="000707E8" w:rsidRDefault="00DB2983" w:rsidP="00F42117">
      <w:pPr>
        <w:pStyle w:val="Prrafodelista"/>
        <w:spacing w:after="0"/>
        <w:ind w:left="0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</w:pPr>
    </w:p>
    <w:p w14:paraId="6E29BEF7" w14:textId="31FF444C" w:rsidR="007A6245" w:rsidRDefault="002028D7" w:rsidP="005A61E4">
      <w:pPr>
        <w:spacing w:line="360" w:lineRule="auto"/>
        <w:jc w:val="both"/>
        <w:rPr>
          <w:rStyle w:val="Fuentedeprrafopredeter"/>
          <w:rFonts w:ascii="Verdana" w:hAnsi="Verdana"/>
          <w:bCs/>
          <w:sz w:val="20"/>
          <w:szCs w:val="20"/>
          <w:lang w:val="pl-PL"/>
        </w:rPr>
      </w:pPr>
      <w:r w:rsidRPr="000707E8">
        <w:rPr>
          <w:rFonts w:ascii="Verdana" w:eastAsia="Times New Roman" w:hAnsi="Verdana"/>
          <w:bCs/>
          <w:sz w:val="20"/>
          <w:szCs w:val="20"/>
          <w:lang w:val="pl-PL"/>
        </w:rPr>
        <w:t xml:space="preserve">Dostępna w Polsce od niedawna doustna pigułka antykoncepcyjna z </w:t>
      </w:r>
      <w:proofErr w:type="spellStart"/>
      <w:r w:rsidRPr="000707E8">
        <w:rPr>
          <w:rFonts w:ascii="Verdana" w:eastAsia="Times New Roman" w:hAnsi="Verdana"/>
          <w:bCs/>
          <w:sz w:val="20"/>
          <w:szCs w:val="20"/>
          <w:lang w:val="pl-PL"/>
        </w:rPr>
        <w:t>drospirenonem</w:t>
      </w:r>
      <w:proofErr w:type="spellEnd"/>
      <w:r w:rsidRPr="000707E8">
        <w:rPr>
          <w:rFonts w:ascii="Verdana" w:eastAsia="Times New Roman" w:hAnsi="Verdana"/>
          <w:bCs/>
          <w:sz w:val="20"/>
          <w:szCs w:val="20"/>
          <w:lang w:val="pl-PL"/>
        </w:rPr>
        <w:t>, nie zawierająca estrogenu, stanowi alternatywę w zakresie antykoncepcji hormonalnej dla kobiet w dobie pandemii COVID-19. Ten rodzaj antykoncepcji hormonalnej przeznaczony jest również dla kobiet nar</w:t>
      </w:r>
      <w:r w:rsidR="00FA74E8">
        <w:rPr>
          <w:rFonts w:ascii="Verdana" w:eastAsia="Times New Roman" w:hAnsi="Verdana"/>
          <w:bCs/>
          <w:sz w:val="20"/>
          <w:szCs w:val="20"/>
          <w:lang w:val="pl-PL"/>
        </w:rPr>
        <w:t>ażonych na zakażenie SARS-CoV-2</w:t>
      </w:r>
      <w:r w:rsidRPr="000707E8">
        <w:rPr>
          <w:rFonts w:ascii="Verdana" w:eastAsia="Times New Roman" w:hAnsi="Verdana"/>
          <w:bCs/>
          <w:sz w:val="20"/>
          <w:szCs w:val="20"/>
          <w:lang w:val="pl-PL"/>
        </w:rPr>
        <w:t>. Jak pokazują badania</w:t>
      </w:r>
      <w:r w:rsidR="00177375">
        <w:rPr>
          <w:rFonts w:ascii="Verdana" w:eastAsia="Times New Roman" w:hAnsi="Verdana"/>
          <w:bCs/>
          <w:sz w:val="20"/>
          <w:szCs w:val="20"/>
          <w:lang w:val="pl-PL"/>
        </w:rPr>
        <w:t>,</w:t>
      </w:r>
      <w:r w:rsidRPr="000707E8">
        <w:rPr>
          <w:rFonts w:ascii="Verdana" w:eastAsia="Times New Roman" w:hAnsi="Verdana"/>
          <w:bCs/>
          <w:sz w:val="20"/>
          <w:szCs w:val="20"/>
          <w:lang w:val="pl-PL"/>
        </w:rPr>
        <w:t xml:space="preserve"> pigułki te nie niosą ze sobą dodatkowego ryzyka w zakresie </w:t>
      </w:r>
      <w:r w:rsidRPr="000707E8">
        <w:rPr>
          <w:rFonts w:ascii="Verdana" w:eastAsia="Times New Roman" w:hAnsi="Verdana"/>
          <w:bCs/>
          <w:color w:val="000000" w:themeColor="text1"/>
          <w:sz w:val="20"/>
          <w:szCs w:val="20"/>
          <w:lang w:val="pl-PL"/>
        </w:rPr>
        <w:t xml:space="preserve">wystąpienia powikłań zakrzepowo-zatorowych, których liczba wzrasta we wszystkich stadiach choroby </w:t>
      </w:r>
      <w:r w:rsidR="00206AED">
        <w:rPr>
          <w:rFonts w:ascii="Verdana" w:eastAsia="Times New Roman" w:hAnsi="Verdana"/>
          <w:bCs/>
          <w:color w:val="000000" w:themeColor="text1"/>
          <w:sz w:val="20"/>
          <w:szCs w:val="20"/>
          <w:lang w:val="pl-PL"/>
        </w:rPr>
        <w:t>COVID</w:t>
      </w:r>
      <w:r w:rsidRPr="000707E8">
        <w:rPr>
          <w:rFonts w:ascii="Verdana" w:eastAsia="Times New Roman" w:hAnsi="Verdana"/>
          <w:bCs/>
          <w:color w:val="000000" w:themeColor="text1"/>
          <w:sz w:val="20"/>
          <w:szCs w:val="20"/>
          <w:lang w:val="pl-PL"/>
        </w:rPr>
        <w:t>-19</w:t>
      </w:r>
      <w:r w:rsidRPr="000707E8">
        <w:rPr>
          <w:rStyle w:val="Fuentedeprrafopredeter"/>
          <w:rFonts w:ascii="Verdana" w:hAnsi="Verdana"/>
          <w:bCs/>
          <w:sz w:val="20"/>
          <w:szCs w:val="20"/>
          <w:lang w:val="pl-PL"/>
        </w:rPr>
        <w:t>.</w:t>
      </w:r>
    </w:p>
    <w:p w14:paraId="28EBF2E0" w14:textId="77777777" w:rsidR="006972EE" w:rsidRPr="006972EE" w:rsidRDefault="006972EE" w:rsidP="005A61E4">
      <w:pPr>
        <w:spacing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E07606A" w14:textId="7AA0D769" w:rsidR="005A61E4" w:rsidRDefault="00F217E7" w:rsidP="005A61E4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P</w:t>
      </w:r>
      <w:r w:rsidR="005A61E4" w:rsidRPr="00513C07">
        <w:rPr>
          <w:rFonts w:ascii="Verdana" w:hAnsi="Verdana"/>
          <w:sz w:val="20"/>
          <w:szCs w:val="20"/>
          <w:lang w:val="pl-PL"/>
        </w:rPr>
        <w:t xml:space="preserve">igułka </w:t>
      </w:r>
      <w:r w:rsidR="005A61E4">
        <w:rPr>
          <w:rFonts w:ascii="Verdana" w:eastAsia="Times New Roman" w:hAnsi="Verdana"/>
          <w:sz w:val="20"/>
          <w:szCs w:val="20"/>
          <w:lang w:val="pl-PL"/>
        </w:rPr>
        <w:t xml:space="preserve">z </w:t>
      </w:r>
      <w:proofErr w:type="spellStart"/>
      <w:r w:rsidR="005A61E4">
        <w:rPr>
          <w:rFonts w:ascii="Verdana" w:eastAsia="Times New Roman" w:hAnsi="Verdana"/>
          <w:sz w:val="20"/>
          <w:szCs w:val="20"/>
          <w:lang w:val="pl-PL"/>
        </w:rPr>
        <w:t>d</w:t>
      </w:r>
      <w:r w:rsidR="005A61E4" w:rsidRPr="00586C5C">
        <w:rPr>
          <w:rFonts w:ascii="Verdana" w:eastAsia="Times New Roman" w:hAnsi="Verdana"/>
          <w:sz w:val="20"/>
          <w:szCs w:val="20"/>
          <w:lang w:val="pl-PL"/>
        </w:rPr>
        <w:t>rospirenon</w:t>
      </w:r>
      <w:r w:rsidR="005A61E4">
        <w:rPr>
          <w:rFonts w:ascii="Verdana" w:eastAsia="Times New Roman" w:hAnsi="Verdana"/>
          <w:sz w:val="20"/>
          <w:szCs w:val="20"/>
          <w:lang w:val="pl-PL"/>
        </w:rPr>
        <w:t>em</w:t>
      </w:r>
      <w:proofErr w:type="spellEnd"/>
      <w:r w:rsidR="005A61E4" w:rsidRPr="00586C5C">
        <w:rPr>
          <w:rFonts w:ascii="Verdana" w:eastAsia="Times New Roman" w:hAnsi="Verdana"/>
          <w:sz w:val="20"/>
          <w:szCs w:val="20"/>
          <w:lang w:val="pl-PL"/>
        </w:rPr>
        <w:t xml:space="preserve"> </w:t>
      </w:r>
      <w:r w:rsidR="005A61E4">
        <w:rPr>
          <w:rFonts w:ascii="Verdana" w:eastAsia="Times New Roman" w:hAnsi="Verdana"/>
          <w:sz w:val="20"/>
          <w:szCs w:val="20"/>
          <w:lang w:val="pl-PL"/>
        </w:rPr>
        <w:t xml:space="preserve">bez </w:t>
      </w:r>
      <w:r w:rsidR="005A61E4" w:rsidRPr="00586C5C">
        <w:rPr>
          <w:rFonts w:ascii="Verdana" w:eastAsia="Times New Roman" w:hAnsi="Verdana"/>
          <w:sz w:val="20"/>
          <w:szCs w:val="20"/>
          <w:lang w:val="pl-PL"/>
        </w:rPr>
        <w:t>estrogenu</w:t>
      </w:r>
      <w:r w:rsidR="005A61E4">
        <w:rPr>
          <w:rFonts w:ascii="Verdana" w:eastAsia="Times New Roman" w:hAnsi="Verdana"/>
          <w:sz w:val="20"/>
          <w:szCs w:val="20"/>
          <w:lang w:val="pl-PL"/>
        </w:rPr>
        <w:t xml:space="preserve"> została wprowadzona na rynek ameryk</w:t>
      </w:r>
      <w:r w:rsidR="00F42117">
        <w:rPr>
          <w:rFonts w:ascii="Verdana" w:eastAsia="Times New Roman" w:hAnsi="Verdana"/>
          <w:sz w:val="20"/>
          <w:szCs w:val="20"/>
          <w:lang w:val="pl-PL"/>
        </w:rPr>
        <w:t>ański w 2019, natomiast na rynku</w:t>
      </w:r>
      <w:r w:rsidR="005A61E4">
        <w:rPr>
          <w:rFonts w:ascii="Verdana" w:eastAsia="Times New Roman" w:hAnsi="Verdana"/>
          <w:sz w:val="20"/>
          <w:szCs w:val="20"/>
          <w:lang w:val="pl-PL"/>
        </w:rPr>
        <w:t xml:space="preserve"> europejski</w:t>
      </w:r>
      <w:r w:rsidR="00F42117">
        <w:rPr>
          <w:rFonts w:ascii="Verdana" w:eastAsia="Times New Roman" w:hAnsi="Verdana"/>
          <w:sz w:val="20"/>
          <w:szCs w:val="20"/>
          <w:lang w:val="pl-PL"/>
        </w:rPr>
        <w:t>m, w tym również polskim</w:t>
      </w:r>
      <w:r w:rsidR="00C725BE">
        <w:rPr>
          <w:rFonts w:ascii="Verdana" w:eastAsia="Times New Roman" w:hAnsi="Verdana"/>
          <w:sz w:val="20"/>
          <w:szCs w:val="20"/>
          <w:lang w:val="pl-PL"/>
        </w:rPr>
        <w:t>,</w:t>
      </w:r>
      <w:r w:rsidR="00F42117">
        <w:rPr>
          <w:rFonts w:ascii="Verdana" w:eastAsia="Times New Roman" w:hAnsi="Verdana"/>
          <w:sz w:val="20"/>
          <w:szCs w:val="20"/>
          <w:lang w:val="pl-PL"/>
        </w:rPr>
        <w:t xml:space="preserve"> jest dostępna od </w:t>
      </w:r>
      <w:r w:rsidR="00D31D99">
        <w:rPr>
          <w:rFonts w:ascii="Verdana" w:eastAsia="Times New Roman" w:hAnsi="Verdana"/>
          <w:sz w:val="20"/>
          <w:szCs w:val="20"/>
          <w:lang w:val="pl-PL"/>
        </w:rPr>
        <w:t>lutego</w:t>
      </w:r>
      <w:r w:rsidR="005A61E4">
        <w:rPr>
          <w:rFonts w:ascii="Verdana" w:eastAsia="Times New Roman" w:hAnsi="Verdana"/>
          <w:sz w:val="20"/>
          <w:szCs w:val="20"/>
          <w:lang w:val="pl-PL"/>
        </w:rPr>
        <w:t xml:space="preserve"> 2020 roku. Badania kliniczne wy</w:t>
      </w:r>
      <w:r w:rsidR="00BB3CF4">
        <w:rPr>
          <w:rFonts w:ascii="Verdana" w:eastAsia="Times New Roman" w:hAnsi="Verdana"/>
          <w:sz w:val="20"/>
          <w:szCs w:val="20"/>
          <w:lang w:val="pl-PL"/>
        </w:rPr>
        <w:t>kazały skuteczność</w:t>
      </w:r>
      <w:r w:rsidR="005A61E4">
        <w:rPr>
          <w:rFonts w:ascii="Verdana" w:eastAsia="Times New Roman" w:hAnsi="Verdana"/>
          <w:sz w:val="20"/>
          <w:szCs w:val="20"/>
          <w:lang w:val="pl-PL"/>
        </w:rPr>
        <w:t xml:space="preserve"> pigułki</w:t>
      </w:r>
      <w:r w:rsidR="00EB6F62">
        <w:rPr>
          <w:rFonts w:ascii="Verdana" w:eastAsia="Times New Roman" w:hAnsi="Verdana"/>
          <w:sz w:val="20"/>
          <w:szCs w:val="20"/>
          <w:lang w:val="pl-PL"/>
        </w:rPr>
        <w:t xml:space="preserve"> oraz </w:t>
      </w:r>
      <w:r w:rsidR="00F42117">
        <w:rPr>
          <w:rFonts w:ascii="Verdana" w:eastAsia="Times New Roman" w:hAnsi="Verdana"/>
          <w:sz w:val="20"/>
          <w:szCs w:val="20"/>
          <w:lang w:val="pl-PL"/>
        </w:rPr>
        <w:t xml:space="preserve">udowodniły </w:t>
      </w:r>
      <w:r w:rsidR="005A61E4">
        <w:rPr>
          <w:rFonts w:ascii="Verdana" w:eastAsia="Times New Roman" w:hAnsi="Verdana"/>
          <w:sz w:val="20"/>
          <w:szCs w:val="20"/>
          <w:lang w:val="pl-PL"/>
        </w:rPr>
        <w:t>wysoki profil bezpieczeństwa, także wśród kobiet z grupy wysokiego ryzyka (1)</w:t>
      </w:r>
      <w:r w:rsidR="005A61E4" w:rsidRPr="00513C07">
        <w:rPr>
          <w:rFonts w:ascii="Verdana" w:hAnsi="Verdana"/>
          <w:sz w:val="20"/>
          <w:szCs w:val="20"/>
          <w:lang w:val="pl-PL"/>
        </w:rPr>
        <w:t xml:space="preserve">. </w:t>
      </w:r>
    </w:p>
    <w:p w14:paraId="414305E5" w14:textId="43460B9E" w:rsidR="005A61E4" w:rsidRDefault="005A61E4" w:rsidP="009A5E59">
      <w:pPr>
        <w:rPr>
          <w:rFonts w:ascii="Verdana" w:hAnsi="Verdana"/>
          <w:sz w:val="20"/>
          <w:szCs w:val="20"/>
          <w:lang w:val="pl-PL"/>
        </w:rPr>
      </w:pPr>
    </w:p>
    <w:p w14:paraId="713875AD" w14:textId="77777777" w:rsidR="005A61E4" w:rsidRPr="00F221D2" w:rsidRDefault="005A61E4" w:rsidP="009A5E59">
      <w:pPr>
        <w:rPr>
          <w:rFonts w:ascii="Verdana" w:hAnsi="Verdana"/>
          <w:sz w:val="20"/>
          <w:szCs w:val="20"/>
          <w:lang w:val="pl-PL"/>
        </w:rPr>
      </w:pPr>
    </w:p>
    <w:p w14:paraId="28EBA801" w14:textId="16544F6A" w:rsidR="00F42117" w:rsidRDefault="00D647C8" w:rsidP="00F42117">
      <w:pPr>
        <w:pStyle w:val="Prrafodelista"/>
        <w:spacing w:after="0"/>
        <w:ind w:left="0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</w:pPr>
      <w:r>
        <w:rPr>
          <w:rFonts w:ascii="Verdana" w:eastAsia="Times New Roman" w:hAnsi="Verdana"/>
          <w:i/>
          <w:sz w:val="20"/>
          <w:szCs w:val="20"/>
          <w:lang w:val="pl-PL"/>
        </w:rPr>
        <w:t>Dostępna</w:t>
      </w:r>
      <w:r w:rsidR="001047EA" w:rsidRPr="007A6245">
        <w:rPr>
          <w:rFonts w:ascii="Verdana" w:eastAsia="Times New Roman" w:hAnsi="Verdana"/>
          <w:i/>
          <w:sz w:val="20"/>
          <w:szCs w:val="20"/>
          <w:lang w:val="pl-PL"/>
        </w:rPr>
        <w:t xml:space="preserve"> od niedawna w Polsce </w:t>
      </w:r>
      <w:r w:rsidR="00F42117">
        <w:rPr>
          <w:rFonts w:ascii="Verdana" w:eastAsia="Times New Roman" w:hAnsi="Verdana"/>
          <w:i/>
          <w:sz w:val="20"/>
          <w:szCs w:val="20"/>
          <w:lang w:val="pl-PL"/>
        </w:rPr>
        <w:t>pi</w:t>
      </w:r>
      <w:r w:rsidR="005F6E57" w:rsidRPr="007A6245">
        <w:rPr>
          <w:rFonts w:ascii="Verdana" w:eastAsia="Times New Roman" w:hAnsi="Verdana"/>
          <w:i/>
          <w:sz w:val="20"/>
          <w:szCs w:val="20"/>
          <w:lang w:val="pl-PL"/>
        </w:rPr>
        <w:t xml:space="preserve">gułka z </w:t>
      </w:r>
      <w:proofErr w:type="spellStart"/>
      <w:r w:rsidR="005F6E57" w:rsidRPr="007A6245">
        <w:rPr>
          <w:rFonts w:ascii="Verdana" w:eastAsia="Times New Roman" w:hAnsi="Verdana"/>
          <w:i/>
          <w:sz w:val="20"/>
          <w:szCs w:val="20"/>
          <w:lang w:val="pl-PL"/>
        </w:rPr>
        <w:t>d</w:t>
      </w:r>
      <w:r w:rsidR="00586C5C" w:rsidRPr="007A6245">
        <w:rPr>
          <w:rFonts w:ascii="Verdana" w:eastAsia="Times New Roman" w:hAnsi="Verdana"/>
          <w:i/>
          <w:sz w:val="20"/>
          <w:szCs w:val="20"/>
          <w:lang w:val="pl-PL"/>
        </w:rPr>
        <w:t>rospirenon</w:t>
      </w:r>
      <w:r w:rsidR="005F6E57" w:rsidRPr="007A6245">
        <w:rPr>
          <w:rFonts w:ascii="Verdana" w:eastAsia="Times New Roman" w:hAnsi="Verdana"/>
          <w:i/>
          <w:sz w:val="20"/>
          <w:szCs w:val="20"/>
          <w:lang w:val="pl-PL"/>
        </w:rPr>
        <w:t>em</w:t>
      </w:r>
      <w:proofErr w:type="spellEnd"/>
      <w:r w:rsidR="00586C5C" w:rsidRPr="007A6245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r w:rsidR="00AB4BB2" w:rsidRPr="007A6245">
        <w:rPr>
          <w:rFonts w:ascii="Verdana" w:eastAsia="Times New Roman" w:hAnsi="Verdana"/>
          <w:i/>
          <w:sz w:val="20"/>
          <w:szCs w:val="20"/>
          <w:lang w:val="pl-PL"/>
        </w:rPr>
        <w:t xml:space="preserve">bez 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>estrogenu (EFD</w:t>
      </w:r>
      <w:r w:rsidR="00F42117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P, </w:t>
      </w:r>
      <w:r w:rsidR="0036346B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ang. Estrogen </w:t>
      </w:r>
      <w:proofErr w:type="spellStart"/>
      <w:r w:rsidR="0036346B" w:rsidRPr="00E05E55">
        <w:rPr>
          <w:rFonts w:ascii="Verdana" w:eastAsia="Times New Roman" w:hAnsi="Verdana"/>
          <w:i/>
          <w:sz w:val="20"/>
          <w:szCs w:val="20"/>
          <w:lang w:val="pl-PL"/>
        </w:rPr>
        <w:t>Free</w:t>
      </w:r>
      <w:proofErr w:type="spellEnd"/>
      <w:r w:rsidR="0036346B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proofErr w:type="spellStart"/>
      <w:r w:rsidR="0036346B" w:rsidRPr="00E05E55">
        <w:rPr>
          <w:rFonts w:ascii="Verdana" w:eastAsia="Times New Roman" w:hAnsi="Verdana"/>
          <w:i/>
          <w:sz w:val="20"/>
          <w:szCs w:val="20"/>
          <w:lang w:val="pl-PL"/>
        </w:rPr>
        <w:t>Drospirenone</w:t>
      </w:r>
      <w:proofErr w:type="spellEnd"/>
      <w:r w:rsidR="0036346B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proofErr w:type="spellStart"/>
      <w:r w:rsidR="0036346B" w:rsidRPr="00E05E55">
        <w:rPr>
          <w:rFonts w:ascii="Verdana" w:eastAsia="Times New Roman" w:hAnsi="Verdana"/>
          <w:i/>
          <w:sz w:val="20"/>
          <w:szCs w:val="20"/>
          <w:lang w:val="pl-PL"/>
        </w:rPr>
        <w:t>Pill</w:t>
      </w:r>
      <w:proofErr w:type="spellEnd"/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) stanowi bezpieczną opcję antykoncepcji </w:t>
      </w:r>
      <w:r w:rsidR="00D578A6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w </w:t>
      </w:r>
      <w:r w:rsidR="001047EA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czasie </w:t>
      </w:r>
      <w:r w:rsidR="00D578A6" w:rsidRPr="00E05E55">
        <w:rPr>
          <w:rFonts w:ascii="Verdana" w:eastAsia="Times New Roman" w:hAnsi="Verdana"/>
          <w:i/>
          <w:sz w:val="20"/>
          <w:szCs w:val="20"/>
          <w:lang w:val="pl-PL"/>
        </w:rPr>
        <w:t>pandemii</w:t>
      </w:r>
      <w:r w:rsidR="005F6E57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>COVID</w:t>
      </w:r>
      <w:r w:rsidR="00D578A6" w:rsidRPr="00E05E55">
        <w:rPr>
          <w:rFonts w:ascii="Verdana" w:eastAsia="Times New Roman" w:hAnsi="Verdana"/>
          <w:i/>
          <w:sz w:val="20"/>
          <w:szCs w:val="20"/>
          <w:lang w:val="pl-PL"/>
        </w:rPr>
        <w:t>-19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z</w:t>
      </w:r>
      <w:r w:rsidR="00E622B8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e względu na 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brak estrogenu oraz </w:t>
      </w:r>
      <w:r w:rsidR="00181B0D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zawartości 4 mg </w:t>
      </w:r>
      <w:proofErr w:type="spellStart"/>
      <w:r w:rsidR="00181B0D" w:rsidRPr="00E05E55">
        <w:rPr>
          <w:rFonts w:ascii="Verdana" w:eastAsia="Times New Roman" w:hAnsi="Verdana"/>
          <w:i/>
          <w:sz w:val="20"/>
          <w:szCs w:val="20"/>
          <w:lang w:val="pl-PL"/>
        </w:rPr>
        <w:t>drospirenonu</w:t>
      </w:r>
      <w:proofErr w:type="spellEnd"/>
      <w:r w:rsidR="00F2213D" w:rsidRPr="00E05E55">
        <w:rPr>
          <w:rFonts w:ascii="Verdana" w:eastAsia="Times New Roman" w:hAnsi="Verdana"/>
          <w:i/>
          <w:sz w:val="20"/>
          <w:szCs w:val="20"/>
          <w:lang w:val="pl-PL"/>
        </w:rPr>
        <w:t>.</w:t>
      </w:r>
      <w:r w:rsidR="00AA759E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W porównaniu z tabletką POP (ang.</w:t>
      </w:r>
      <w:r w:rsidR="00FA74E8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proofErr w:type="spellStart"/>
      <w:r w:rsidR="00FA74E8">
        <w:rPr>
          <w:rFonts w:ascii="Verdana" w:eastAsia="Times New Roman" w:hAnsi="Verdana"/>
          <w:i/>
          <w:sz w:val="20"/>
          <w:szCs w:val="20"/>
          <w:lang w:val="pl-PL"/>
        </w:rPr>
        <w:t>Progestogen</w:t>
      </w:r>
      <w:proofErr w:type="spellEnd"/>
      <w:r w:rsidR="00FA74E8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proofErr w:type="spellStart"/>
      <w:r w:rsidR="00FA74E8">
        <w:rPr>
          <w:rFonts w:ascii="Verdana" w:eastAsia="Times New Roman" w:hAnsi="Verdana"/>
          <w:i/>
          <w:sz w:val="20"/>
          <w:szCs w:val="20"/>
          <w:lang w:val="pl-PL"/>
        </w:rPr>
        <w:t>Only</w:t>
      </w:r>
      <w:proofErr w:type="spellEnd"/>
      <w:r w:rsidR="00FA74E8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proofErr w:type="spellStart"/>
      <w:r w:rsidR="00FA74E8">
        <w:rPr>
          <w:rFonts w:ascii="Verdana" w:eastAsia="Times New Roman" w:hAnsi="Verdana"/>
          <w:i/>
          <w:sz w:val="20"/>
          <w:szCs w:val="20"/>
          <w:lang w:val="pl-PL"/>
        </w:rPr>
        <w:t>Pill</w:t>
      </w:r>
      <w:proofErr w:type="spellEnd"/>
      <w:r w:rsidR="00FA74E8">
        <w:rPr>
          <w:rFonts w:ascii="Verdana" w:eastAsia="Times New Roman" w:hAnsi="Verdana"/>
          <w:i/>
          <w:sz w:val="20"/>
          <w:szCs w:val="20"/>
          <w:lang w:val="pl-PL"/>
        </w:rPr>
        <w:t>)</w:t>
      </w:r>
      <w:r w:rsidR="00F2213D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r w:rsidR="00AA759E" w:rsidRPr="00E05E55">
        <w:rPr>
          <w:rFonts w:ascii="Verdana" w:eastAsia="Times New Roman" w:hAnsi="Verdana"/>
          <w:i/>
          <w:sz w:val="20"/>
          <w:szCs w:val="20"/>
          <w:lang w:val="pl-PL"/>
        </w:rPr>
        <w:t>s</w:t>
      </w:r>
      <w:r w:rsidR="00F2213D" w:rsidRPr="00E05E55">
        <w:rPr>
          <w:rFonts w:ascii="Verdana" w:eastAsia="Times New Roman" w:hAnsi="Verdana"/>
          <w:i/>
          <w:sz w:val="20"/>
          <w:szCs w:val="20"/>
          <w:lang w:val="pl-PL"/>
        </w:rPr>
        <w:t>tosowanie tabletki zawierającej 4 mg DRSP nie powoduje zwiększenia stężenia</w:t>
      </w:r>
      <w:r w:rsidR="00FA74E8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r w:rsidR="00470154" w:rsidRPr="00E05E55">
        <w:rPr>
          <w:rFonts w:ascii="Verdana" w:eastAsia="Times New Roman" w:hAnsi="Verdana"/>
          <w:i/>
          <w:sz w:val="20"/>
          <w:szCs w:val="20"/>
          <w:lang w:val="pl-PL"/>
        </w:rPr>
        <w:t>D-dimer</w:t>
      </w:r>
      <w:r w:rsidR="00F2213D" w:rsidRPr="00E05E55">
        <w:rPr>
          <w:rFonts w:ascii="Verdana" w:eastAsia="Times New Roman" w:hAnsi="Verdana"/>
          <w:i/>
          <w:sz w:val="20"/>
          <w:szCs w:val="20"/>
          <w:lang w:val="pl-PL"/>
        </w:rPr>
        <w:t>ów</w:t>
      </w:r>
      <w:r w:rsidR="00470154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. </w:t>
      </w:r>
      <w:r w:rsidR="00470154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 xml:space="preserve">Właśnie ten parametr jest jednym z najbardziej istotnych markerów w przypadku </w:t>
      </w:r>
      <w:r w:rsidR="00206AED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>COVID</w:t>
      </w:r>
      <w:r w:rsidR="00470154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>-19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. </w:t>
      </w:r>
      <w:r w:rsidR="00AA1D2E" w:rsidRPr="00E05E55">
        <w:rPr>
          <w:rFonts w:ascii="Verdana" w:eastAsia="Times New Roman" w:hAnsi="Verdana"/>
          <w:i/>
          <w:sz w:val="20"/>
          <w:szCs w:val="20"/>
          <w:lang w:val="pl-PL"/>
        </w:rPr>
        <w:t>Ta forma antykoncepcji hormonalnej z</w:t>
      </w:r>
      <w:r w:rsidR="00E622B8" w:rsidRPr="00E05E55">
        <w:rPr>
          <w:rFonts w:ascii="Verdana" w:eastAsia="Times New Roman" w:hAnsi="Verdana"/>
          <w:i/>
          <w:sz w:val="20"/>
          <w:szCs w:val="20"/>
          <w:lang w:val="pl-PL"/>
        </w:rPr>
        <w:t>apewnia</w:t>
      </w:r>
      <w:r w:rsidR="00194544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dopuszczalny profil krwawień i 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>jest odpowiedni</w:t>
      </w:r>
      <w:r w:rsidR="00E5320F" w:rsidRPr="00E05E55">
        <w:rPr>
          <w:rFonts w:ascii="Verdana" w:eastAsia="Times New Roman" w:hAnsi="Verdana"/>
          <w:i/>
          <w:sz w:val="20"/>
          <w:szCs w:val="20"/>
          <w:lang w:val="pl-PL"/>
        </w:rPr>
        <w:t>a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dla większości kobie</w:t>
      </w:r>
      <w:r w:rsidR="00F42117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t 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>od nastolatek do</w:t>
      </w:r>
      <w:r w:rsidR="00FF3DDC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kobiet</w:t>
      </w:r>
      <w:r w:rsidR="00D578A6" w:rsidRPr="00E05E55">
        <w:rPr>
          <w:rFonts w:ascii="Verdana" w:eastAsia="Times New Roman" w:hAnsi="Verdana"/>
          <w:i/>
          <w:sz w:val="20"/>
          <w:szCs w:val="20"/>
          <w:lang w:val="pl-PL"/>
        </w:rPr>
        <w:t xml:space="preserve"> </w:t>
      </w:r>
      <w:r w:rsidR="00470154" w:rsidRPr="00E05E55">
        <w:rPr>
          <w:rFonts w:ascii="Verdana" w:eastAsia="Times New Roman" w:hAnsi="Verdana"/>
          <w:i/>
          <w:sz w:val="20"/>
          <w:szCs w:val="20"/>
          <w:lang w:val="pl-PL"/>
        </w:rPr>
        <w:t>w </w:t>
      </w:r>
      <w:r w:rsidR="00586C5C" w:rsidRPr="00E05E55">
        <w:rPr>
          <w:rFonts w:ascii="Verdana" w:eastAsia="Times New Roman" w:hAnsi="Verdana"/>
          <w:i/>
          <w:sz w:val="20"/>
          <w:szCs w:val="20"/>
          <w:lang w:val="pl-PL"/>
        </w:rPr>
        <w:t>okresie menopauzalnym, które chcą i mogą przyjmować doustną antykoncepcję</w:t>
      </w:r>
      <w:r w:rsidR="00843073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>.</w:t>
      </w:r>
      <w:r w:rsidR="00414E94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 xml:space="preserve"> </w:t>
      </w:r>
      <w:r w:rsidR="001047EA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 xml:space="preserve">Brak estrogenu, który </w:t>
      </w:r>
      <w:r w:rsidR="001861B9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 xml:space="preserve">może </w:t>
      </w:r>
      <w:r w:rsidR="001047EA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>powod</w:t>
      </w:r>
      <w:r w:rsidR="001861B9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>ować</w:t>
      </w:r>
      <w:r w:rsidR="001047EA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 xml:space="preserve"> zmiany </w:t>
      </w:r>
      <w:proofErr w:type="spellStart"/>
      <w:r w:rsidR="001047EA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>prozakrzepowe</w:t>
      </w:r>
      <w:proofErr w:type="spellEnd"/>
      <w:r w:rsidR="001047EA" w:rsidRPr="00E05E5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>,</w:t>
      </w:r>
      <w:r w:rsidR="001047EA" w:rsidRPr="007A624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 xml:space="preserve"> obserwowane w białka</w:t>
      </w:r>
      <w:r w:rsidR="00AA1D2E" w:rsidRPr="007A6245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 xml:space="preserve">ch zaangażowanych w krzepliwość, wydaje się więc być </w:t>
      </w:r>
      <w:r w:rsidR="00AA1D2E" w:rsidRPr="00AA1D2E">
        <w:rPr>
          <w:rFonts w:ascii="Verdana" w:eastAsia="Times New Roman" w:hAnsi="Verdana"/>
          <w:i/>
          <w:color w:val="000000" w:themeColor="text1"/>
          <w:sz w:val="20"/>
          <w:szCs w:val="20"/>
          <w:lang w:val="pl-PL"/>
        </w:rPr>
        <w:t xml:space="preserve">korzystny </w:t>
      </w:r>
      <w:r w:rsidR="00AA1D2E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– komentuje prof. dr hab. n. med. Tomasz Paszkowski</w:t>
      </w:r>
      <w:r w:rsidR="00317EA3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</w:t>
      </w:r>
      <w:r w:rsidR="001102E1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z </w:t>
      </w:r>
      <w:r w:rsidR="00317EA3" w:rsidRPr="007A6245">
        <w:rPr>
          <w:rFonts w:ascii="Verdana" w:eastAsia="Times New Roman" w:hAnsi="Verdana" w:cs="Calibri"/>
          <w:b/>
          <w:color w:val="000000" w:themeColor="text1"/>
          <w:sz w:val="20"/>
          <w:szCs w:val="20"/>
          <w:lang w:val="pl-PL"/>
        </w:rPr>
        <w:t>Uniwersytet</w:t>
      </w:r>
      <w:r w:rsidR="00FF3DDC">
        <w:rPr>
          <w:rFonts w:ascii="Verdana" w:eastAsia="Times New Roman" w:hAnsi="Verdana" w:cs="Calibri"/>
          <w:b/>
          <w:color w:val="000000" w:themeColor="text1"/>
          <w:sz w:val="20"/>
          <w:szCs w:val="20"/>
          <w:lang w:val="pl-PL"/>
        </w:rPr>
        <w:t>u</w:t>
      </w:r>
      <w:r w:rsidR="00317EA3" w:rsidRPr="007A6245">
        <w:rPr>
          <w:rFonts w:ascii="Verdana" w:eastAsia="Times New Roman" w:hAnsi="Verdana" w:cs="Calibri"/>
          <w:b/>
          <w:color w:val="000000" w:themeColor="text1"/>
          <w:sz w:val="20"/>
          <w:szCs w:val="20"/>
          <w:lang w:val="pl-PL"/>
        </w:rPr>
        <w:t xml:space="preserve"> Medyczn</w:t>
      </w:r>
      <w:r w:rsidR="00FF3DDC">
        <w:rPr>
          <w:rFonts w:ascii="Verdana" w:eastAsia="Times New Roman" w:hAnsi="Verdana" w:cs="Calibri"/>
          <w:b/>
          <w:color w:val="000000" w:themeColor="text1"/>
          <w:sz w:val="20"/>
          <w:szCs w:val="20"/>
          <w:lang w:val="pl-PL"/>
        </w:rPr>
        <w:t>ego</w:t>
      </w:r>
      <w:r w:rsidR="001102E1">
        <w:rPr>
          <w:rFonts w:ascii="Verdana" w:eastAsia="Times New Roman" w:hAnsi="Verdana" w:cs="Calibri"/>
          <w:b/>
          <w:color w:val="000000" w:themeColor="text1"/>
          <w:sz w:val="20"/>
          <w:szCs w:val="20"/>
          <w:lang w:val="pl-PL"/>
        </w:rPr>
        <w:t xml:space="preserve"> </w:t>
      </w:r>
      <w:r w:rsidR="00317EA3" w:rsidRPr="007A6245">
        <w:rPr>
          <w:rFonts w:ascii="Verdana" w:eastAsia="Times New Roman" w:hAnsi="Verdana" w:cs="Calibri"/>
          <w:b/>
          <w:color w:val="000000" w:themeColor="text1"/>
          <w:sz w:val="20"/>
          <w:szCs w:val="20"/>
          <w:lang w:val="pl-PL"/>
        </w:rPr>
        <w:t>w Lublinie</w:t>
      </w:r>
      <w:r w:rsidR="00F42117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.</w:t>
      </w:r>
      <w:r w:rsidR="00470154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 xml:space="preserve"> </w:t>
      </w:r>
    </w:p>
    <w:p w14:paraId="67E39837" w14:textId="7ED137FD" w:rsidR="00D647C8" w:rsidRDefault="00D647C8" w:rsidP="00D647C8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21537044" w14:textId="1E77FD2D" w:rsidR="00D647C8" w:rsidRPr="00D647C8" w:rsidRDefault="00D647C8" w:rsidP="00D647C8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8528D">
        <w:rPr>
          <w:rFonts w:ascii="Verdana" w:hAnsi="Verdana"/>
          <w:sz w:val="20"/>
          <w:szCs w:val="20"/>
          <w:lang w:val="pl-PL"/>
        </w:rPr>
        <w:t>Drospirenon</w:t>
      </w:r>
      <w:proofErr w:type="spellEnd"/>
      <w:r w:rsidRPr="0038528D">
        <w:rPr>
          <w:rFonts w:ascii="Verdana" w:hAnsi="Verdana"/>
          <w:sz w:val="20"/>
          <w:szCs w:val="20"/>
          <w:lang w:val="pl-PL"/>
        </w:rPr>
        <w:t xml:space="preserve"> to syntetyczny </w:t>
      </w:r>
      <w:proofErr w:type="spellStart"/>
      <w:r w:rsidRPr="0038528D">
        <w:rPr>
          <w:rFonts w:ascii="Verdana" w:hAnsi="Verdana"/>
          <w:sz w:val="20"/>
          <w:szCs w:val="20"/>
          <w:lang w:val="pl-PL"/>
        </w:rPr>
        <w:t>progestagen</w:t>
      </w:r>
      <w:proofErr w:type="spellEnd"/>
      <w:r w:rsidRPr="0038528D">
        <w:rPr>
          <w:rFonts w:ascii="Verdana" w:hAnsi="Verdana"/>
          <w:sz w:val="20"/>
          <w:szCs w:val="20"/>
          <w:lang w:val="pl-PL"/>
        </w:rPr>
        <w:t xml:space="preserve"> o profilu farmakologicznym zbliżonym do naturalnie wytwarzanego progesteronu. Ze względu na brak estrogenu jest </w:t>
      </w:r>
      <w:r>
        <w:rPr>
          <w:rFonts w:ascii="Verdana" w:hAnsi="Verdana"/>
          <w:sz w:val="20"/>
          <w:szCs w:val="20"/>
          <w:lang w:val="pl-PL"/>
        </w:rPr>
        <w:t>formą</w:t>
      </w:r>
      <w:r w:rsidRPr="0038528D">
        <w:rPr>
          <w:rFonts w:ascii="Verdana" w:hAnsi="Verdana"/>
          <w:sz w:val="20"/>
          <w:szCs w:val="20"/>
          <w:lang w:val="pl-PL"/>
        </w:rPr>
        <w:t xml:space="preserve"> antykoncepcji</w:t>
      </w:r>
      <w:r>
        <w:rPr>
          <w:rFonts w:ascii="Verdana" w:hAnsi="Verdana"/>
          <w:sz w:val="20"/>
          <w:szCs w:val="20"/>
          <w:lang w:val="pl-PL"/>
        </w:rPr>
        <w:t>,</w:t>
      </w:r>
      <w:r w:rsidRPr="0038528D">
        <w:rPr>
          <w:rFonts w:ascii="Verdana" w:hAnsi="Verdana"/>
          <w:sz w:val="20"/>
          <w:szCs w:val="20"/>
          <w:lang w:val="pl-PL"/>
        </w:rPr>
        <w:t xml:space="preserve"> która ogranicza ryzyko chorób układu krążenia powiązanych ze stosowaniem złożon</w:t>
      </w:r>
      <w:r>
        <w:rPr>
          <w:rFonts w:ascii="Verdana" w:hAnsi="Verdana"/>
          <w:sz w:val="20"/>
          <w:szCs w:val="20"/>
          <w:lang w:val="pl-PL"/>
        </w:rPr>
        <w:t>ej antykoncepcji hormonalnej. O</w:t>
      </w:r>
      <w:r w:rsidRPr="0038528D">
        <w:rPr>
          <w:rFonts w:ascii="Verdana" w:hAnsi="Verdana"/>
          <w:sz w:val="20"/>
          <w:szCs w:val="20"/>
          <w:lang w:val="pl-PL"/>
        </w:rPr>
        <w:t>feruje wszystkie korzyści płynące ze stosowania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l-PL"/>
        </w:rPr>
        <w:t>drospirenonu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, m.in. </w:t>
      </w:r>
      <w:r w:rsidRPr="00D647C8">
        <w:rPr>
          <w:rFonts w:ascii="Verdana" w:hAnsi="Verdana"/>
          <w:sz w:val="20"/>
          <w:szCs w:val="20"/>
          <w:lang w:val="pl-PL"/>
        </w:rPr>
        <w:t>zapobiega występowaniu obrzęków, które często towarzyszą stosowaniu antykoncepcji.</w:t>
      </w:r>
    </w:p>
    <w:p w14:paraId="4AEDBE4B" w14:textId="3B09937A" w:rsidR="00F42117" w:rsidRPr="00470154" w:rsidRDefault="00F42117" w:rsidP="00470154">
      <w:pPr>
        <w:pStyle w:val="Prrafodelista"/>
        <w:spacing w:after="0"/>
        <w:ind w:left="0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</w:pPr>
    </w:p>
    <w:p w14:paraId="292203D9" w14:textId="6701C728" w:rsidR="007A6245" w:rsidRDefault="005A61E4" w:rsidP="005A61E4">
      <w:p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AA5786">
        <w:rPr>
          <w:rFonts w:ascii="Verdana" w:hAnsi="Verdana"/>
          <w:i/>
          <w:sz w:val="20"/>
          <w:szCs w:val="20"/>
          <w:lang w:val="pl-PL"/>
        </w:rPr>
        <w:t xml:space="preserve">W ramach przeprowadzonych nad nową pigułką badań, </w:t>
      </w:r>
      <w:r w:rsidRPr="007A6245">
        <w:rPr>
          <w:rFonts w:ascii="Verdana" w:hAnsi="Verdana"/>
          <w:i/>
          <w:sz w:val="20"/>
          <w:szCs w:val="20"/>
          <w:lang w:val="pl-PL"/>
        </w:rPr>
        <w:t>do których włączono ponad 2 000 kobiet</w:t>
      </w:r>
      <w:r w:rsidR="00AA5786" w:rsidRPr="007A6245">
        <w:rPr>
          <w:rFonts w:ascii="Verdana" w:hAnsi="Verdana"/>
          <w:i/>
          <w:sz w:val="20"/>
          <w:szCs w:val="20"/>
          <w:lang w:val="pl-PL"/>
        </w:rPr>
        <w:t xml:space="preserve"> z populacji wysokiego ryzyka</w:t>
      </w:r>
      <w:r w:rsidR="00BB3CF4">
        <w:rPr>
          <w:rFonts w:ascii="Verdana" w:hAnsi="Verdana"/>
          <w:i/>
          <w:sz w:val="20"/>
          <w:szCs w:val="20"/>
          <w:lang w:val="pl-PL"/>
        </w:rPr>
        <w:t xml:space="preserve"> (</w:t>
      </w:r>
      <w:r w:rsidRPr="007A6245">
        <w:rPr>
          <w:rFonts w:ascii="Verdana" w:hAnsi="Verdana"/>
          <w:i/>
          <w:sz w:val="20"/>
          <w:szCs w:val="20"/>
          <w:lang w:val="pl-PL"/>
        </w:rPr>
        <w:t xml:space="preserve">co pozwoliło </w:t>
      </w:r>
      <w:r w:rsidR="00BB3CF4">
        <w:rPr>
          <w:rFonts w:ascii="Verdana" w:hAnsi="Verdana"/>
          <w:i/>
          <w:sz w:val="20"/>
          <w:szCs w:val="20"/>
          <w:lang w:val="pl-PL"/>
        </w:rPr>
        <w:t>uzyskać ponad 20 000 cykli)</w:t>
      </w:r>
      <w:r w:rsidR="003C12AE">
        <w:rPr>
          <w:rFonts w:ascii="Verdana" w:hAnsi="Verdana"/>
          <w:i/>
          <w:sz w:val="20"/>
          <w:szCs w:val="20"/>
          <w:lang w:val="pl-PL"/>
        </w:rPr>
        <w:t>,</w:t>
      </w:r>
      <w:r w:rsidR="00AA5786" w:rsidRPr="007A6245">
        <w:rPr>
          <w:rFonts w:ascii="Verdana" w:hAnsi="Verdana"/>
          <w:i/>
          <w:sz w:val="20"/>
          <w:szCs w:val="20"/>
          <w:lang w:val="pl-PL"/>
        </w:rPr>
        <w:t xml:space="preserve"> </w:t>
      </w:r>
      <w:r w:rsidRPr="007A6245">
        <w:rPr>
          <w:rFonts w:ascii="Verdana" w:hAnsi="Verdana"/>
          <w:i/>
          <w:sz w:val="20"/>
          <w:szCs w:val="20"/>
          <w:lang w:val="pl-PL"/>
        </w:rPr>
        <w:t xml:space="preserve">nie </w:t>
      </w:r>
      <w:r w:rsidR="00AA5786" w:rsidRPr="007A6245">
        <w:rPr>
          <w:rFonts w:ascii="Verdana" w:hAnsi="Verdana"/>
          <w:i/>
          <w:sz w:val="20"/>
          <w:szCs w:val="20"/>
          <w:lang w:val="pl-PL"/>
        </w:rPr>
        <w:t xml:space="preserve">odnotowano </w:t>
      </w:r>
      <w:r w:rsidRPr="007A6245">
        <w:rPr>
          <w:rFonts w:ascii="Verdana" w:hAnsi="Verdana"/>
          <w:i/>
          <w:sz w:val="20"/>
          <w:szCs w:val="20"/>
          <w:lang w:val="pl-PL"/>
        </w:rPr>
        <w:t>żadnych doniesień o powikłaniach zakrzepowo-zatorowych</w:t>
      </w:r>
      <w:r w:rsidR="00AA5786" w:rsidRPr="007A6245">
        <w:rPr>
          <w:rFonts w:ascii="Verdana" w:hAnsi="Verdana"/>
          <w:i/>
          <w:sz w:val="20"/>
          <w:szCs w:val="20"/>
          <w:lang w:val="pl-PL"/>
        </w:rPr>
        <w:t xml:space="preserve">. </w:t>
      </w:r>
      <w:r w:rsidR="00AA5786" w:rsidRPr="00AA5786">
        <w:rPr>
          <w:rFonts w:ascii="Verdana" w:hAnsi="Verdana"/>
          <w:i/>
          <w:sz w:val="20"/>
          <w:szCs w:val="20"/>
          <w:lang w:val="pl-PL"/>
        </w:rPr>
        <w:t>N</w:t>
      </w:r>
      <w:r w:rsidRPr="007A6245">
        <w:rPr>
          <w:rFonts w:ascii="Verdana" w:hAnsi="Verdana"/>
          <w:i/>
          <w:sz w:val="20"/>
          <w:szCs w:val="20"/>
          <w:lang w:val="pl-PL"/>
        </w:rPr>
        <w:t>ie stwierdzono</w:t>
      </w:r>
      <w:r w:rsidR="00AA5786">
        <w:rPr>
          <w:rFonts w:ascii="Verdana" w:hAnsi="Verdana"/>
          <w:i/>
          <w:sz w:val="20"/>
          <w:szCs w:val="20"/>
          <w:lang w:val="pl-PL"/>
        </w:rPr>
        <w:t xml:space="preserve"> też</w:t>
      </w:r>
      <w:r w:rsidRPr="007A6245">
        <w:rPr>
          <w:rFonts w:ascii="Verdana" w:hAnsi="Verdana"/>
          <w:i/>
          <w:sz w:val="20"/>
          <w:szCs w:val="20"/>
          <w:lang w:val="pl-PL"/>
        </w:rPr>
        <w:t xml:space="preserve"> wpływu na czynniki krzepnięcia zależne od funkcjonowania wątroby</w:t>
      </w:r>
      <w:r w:rsidRPr="007A783D">
        <w:rPr>
          <w:rFonts w:ascii="Verdana" w:hAnsi="Verdana"/>
          <w:i/>
          <w:sz w:val="20"/>
          <w:szCs w:val="20"/>
          <w:lang w:val="pl-PL"/>
        </w:rPr>
        <w:t xml:space="preserve">. </w:t>
      </w:r>
      <w:r w:rsidR="002D3F75" w:rsidRPr="007A783D">
        <w:rPr>
          <w:rFonts w:ascii="Verdana" w:hAnsi="Verdana"/>
          <w:i/>
          <w:sz w:val="20"/>
          <w:szCs w:val="20"/>
          <w:lang w:val="pl-PL"/>
        </w:rPr>
        <w:t>Jak pokazują badania</w:t>
      </w:r>
      <w:r w:rsidR="002D3F75">
        <w:rPr>
          <w:rFonts w:ascii="Verdana" w:hAnsi="Verdana"/>
          <w:i/>
          <w:sz w:val="20"/>
          <w:szCs w:val="20"/>
          <w:lang w:val="pl-PL"/>
        </w:rPr>
        <w:t xml:space="preserve"> p</w:t>
      </w:r>
      <w:r w:rsidR="00AA5786" w:rsidRPr="00194544">
        <w:rPr>
          <w:rFonts w:ascii="Verdana" w:eastAsia="Times New Roman" w:hAnsi="Verdana"/>
          <w:i/>
          <w:sz w:val="20"/>
          <w:szCs w:val="20"/>
          <w:lang w:val="pl-PL"/>
        </w:rPr>
        <w:t xml:space="preserve">igułka </w:t>
      </w:r>
      <w:r w:rsidR="00AA5786" w:rsidRPr="00194544">
        <w:rPr>
          <w:rFonts w:ascii="Verdana" w:hAnsi="Verdana"/>
          <w:i/>
          <w:sz w:val="20"/>
          <w:szCs w:val="20"/>
          <w:lang w:val="pl-PL"/>
        </w:rPr>
        <w:t xml:space="preserve">bez estrogenu </w:t>
      </w:r>
      <w:r w:rsidR="00EB38CB">
        <w:rPr>
          <w:rFonts w:ascii="Verdana" w:eastAsia="Times New Roman" w:hAnsi="Verdana"/>
          <w:i/>
          <w:sz w:val="20"/>
          <w:szCs w:val="20"/>
          <w:lang w:val="pl-PL"/>
        </w:rPr>
        <w:t xml:space="preserve">zawierająca </w:t>
      </w:r>
      <w:proofErr w:type="spellStart"/>
      <w:r w:rsidR="00AA5786" w:rsidRPr="007A6245">
        <w:rPr>
          <w:rFonts w:ascii="Verdana" w:eastAsia="Times New Roman" w:hAnsi="Verdana"/>
          <w:i/>
          <w:sz w:val="20"/>
          <w:szCs w:val="20"/>
          <w:lang w:val="pl-PL"/>
        </w:rPr>
        <w:t>d</w:t>
      </w:r>
      <w:r w:rsidR="00EB38CB">
        <w:rPr>
          <w:rFonts w:ascii="Verdana" w:hAnsi="Verdana"/>
          <w:i/>
          <w:sz w:val="20"/>
          <w:szCs w:val="20"/>
          <w:lang w:val="pl-PL"/>
        </w:rPr>
        <w:t>rospirenon</w:t>
      </w:r>
      <w:proofErr w:type="spellEnd"/>
      <w:r w:rsidR="00BB1952">
        <w:rPr>
          <w:rFonts w:ascii="Verdana" w:hAnsi="Verdana"/>
          <w:i/>
          <w:sz w:val="20"/>
          <w:szCs w:val="20"/>
          <w:lang w:val="pl-PL"/>
        </w:rPr>
        <w:t xml:space="preserve"> ma pozytywny wpływ</w:t>
      </w:r>
      <w:r w:rsidR="00AA5786" w:rsidRPr="007A6245">
        <w:rPr>
          <w:rFonts w:ascii="Verdana" w:hAnsi="Verdana"/>
          <w:i/>
          <w:sz w:val="20"/>
          <w:szCs w:val="20"/>
          <w:lang w:val="pl-PL"/>
        </w:rPr>
        <w:t xml:space="preserve"> na c</w:t>
      </w:r>
      <w:r w:rsidR="00BB1952">
        <w:rPr>
          <w:rFonts w:ascii="Verdana" w:hAnsi="Verdana"/>
          <w:i/>
          <w:sz w:val="20"/>
          <w:szCs w:val="20"/>
          <w:lang w:val="pl-PL"/>
        </w:rPr>
        <w:t xml:space="preserve">zynniki krzepnięcia </w:t>
      </w:r>
      <w:r w:rsidR="00BB1952" w:rsidRPr="00185D2B">
        <w:rPr>
          <w:rFonts w:ascii="Verdana" w:hAnsi="Verdana"/>
          <w:i/>
          <w:sz w:val="20"/>
          <w:szCs w:val="20"/>
          <w:lang w:val="pl-PL"/>
        </w:rPr>
        <w:t xml:space="preserve">oraz istotnie </w:t>
      </w:r>
      <w:r w:rsidR="00BC53C5" w:rsidRPr="00185D2B">
        <w:rPr>
          <w:rFonts w:ascii="Verdana" w:hAnsi="Verdana"/>
          <w:i/>
          <w:sz w:val="20"/>
          <w:szCs w:val="20"/>
          <w:lang w:val="pl-PL"/>
        </w:rPr>
        <w:t xml:space="preserve">zmniejsza stężenie </w:t>
      </w:r>
      <w:r w:rsidR="00AA5786" w:rsidRPr="00185D2B">
        <w:rPr>
          <w:rFonts w:ascii="Verdana" w:hAnsi="Verdana"/>
          <w:i/>
          <w:sz w:val="20"/>
          <w:szCs w:val="20"/>
          <w:lang w:val="pl-PL"/>
        </w:rPr>
        <w:t>D-dimerów</w:t>
      </w:r>
      <w:r w:rsidR="00BB1952" w:rsidRPr="00185D2B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AA5786" w:rsidRPr="00185D2B">
        <w:rPr>
          <w:rFonts w:ascii="Verdana" w:hAnsi="Verdana"/>
          <w:b/>
          <w:sz w:val="20"/>
          <w:szCs w:val="20"/>
          <w:lang w:val="pl-PL"/>
        </w:rPr>
        <w:t xml:space="preserve">– </w:t>
      </w:r>
      <w:r w:rsidR="00317EA3" w:rsidRPr="00185D2B">
        <w:rPr>
          <w:rFonts w:ascii="Verdana" w:hAnsi="Verdana"/>
          <w:b/>
          <w:sz w:val="20"/>
          <w:szCs w:val="20"/>
          <w:lang w:val="pl-PL"/>
        </w:rPr>
        <w:t>dodaje</w:t>
      </w:r>
      <w:r w:rsidR="00AA5786" w:rsidRPr="00185D2B">
        <w:rPr>
          <w:rFonts w:ascii="Verdana" w:hAnsi="Verdana"/>
          <w:b/>
          <w:sz w:val="20"/>
          <w:szCs w:val="20"/>
          <w:lang w:val="pl-PL"/>
        </w:rPr>
        <w:t xml:space="preserve"> prof. dr hab. n. med. </w:t>
      </w:r>
      <w:r w:rsidR="00E3380A" w:rsidRPr="00185D2B">
        <w:rPr>
          <w:rFonts w:ascii="Verdana" w:hAnsi="Verdana"/>
          <w:b/>
          <w:sz w:val="20"/>
          <w:szCs w:val="20"/>
          <w:lang w:val="pl-PL"/>
        </w:rPr>
        <w:t>Artur Jakimiuk z Centralnego Szpitala Klinicznego MSWiA w Warszawie.</w:t>
      </w:r>
    </w:p>
    <w:p w14:paraId="4CA389CE" w14:textId="77777777" w:rsidR="007A6245" w:rsidRPr="007A6245" w:rsidRDefault="007A6245" w:rsidP="005A61E4">
      <w:p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6DED14E2" w14:textId="3B774E61" w:rsidR="007A6245" w:rsidRPr="00194544" w:rsidRDefault="005A61E4" w:rsidP="00194544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AA5786">
        <w:rPr>
          <w:rFonts w:ascii="Verdana" w:hAnsi="Verdana"/>
          <w:sz w:val="20"/>
          <w:szCs w:val="20"/>
          <w:lang w:val="pl-PL"/>
        </w:rPr>
        <w:t>Skuteczność EFDP jest porównywalna z innymi doustnymi środkami antykoncepcyjnymi.</w:t>
      </w:r>
      <w:r w:rsidR="00AA5786">
        <w:rPr>
          <w:rFonts w:ascii="Verdana" w:hAnsi="Verdana"/>
          <w:sz w:val="20"/>
          <w:szCs w:val="20"/>
          <w:lang w:val="pl-PL"/>
        </w:rPr>
        <w:t xml:space="preserve"> Produkt t</w:t>
      </w:r>
      <w:r w:rsidR="00C725BE">
        <w:rPr>
          <w:rFonts w:ascii="Verdana" w:hAnsi="Verdana"/>
          <w:sz w:val="20"/>
          <w:szCs w:val="20"/>
          <w:lang w:val="pl-PL"/>
        </w:rPr>
        <w:t>en przeznaczony jest zarówno dla młodych, jak i dojrzałych kobiet.</w:t>
      </w:r>
    </w:p>
    <w:p w14:paraId="4D50A30D" w14:textId="77777777" w:rsidR="009A5E59" w:rsidRPr="00517F99" w:rsidRDefault="009A5E59" w:rsidP="009A5E59">
      <w:pPr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14:paraId="75BC18C6" w14:textId="77777777" w:rsidR="00185D2B" w:rsidRPr="00B86D5B" w:rsidRDefault="00185D2B" w:rsidP="009A5E59">
      <w:pPr>
        <w:rPr>
          <w:rFonts w:ascii="Verdana" w:hAnsi="Verdana"/>
          <w:b/>
          <w:bCs/>
          <w:sz w:val="18"/>
          <w:szCs w:val="18"/>
          <w:lang w:val="pl-PL"/>
        </w:rPr>
      </w:pPr>
    </w:p>
    <w:p w14:paraId="01DDE801" w14:textId="77777777" w:rsidR="00185D2B" w:rsidRPr="00B86D5B" w:rsidRDefault="00185D2B" w:rsidP="009A5E59">
      <w:pPr>
        <w:rPr>
          <w:rFonts w:ascii="Verdana" w:hAnsi="Verdana"/>
          <w:b/>
          <w:bCs/>
          <w:sz w:val="18"/>
          <w:szCs w:val="18"/>
          <w:lang w:val="pl-PL"/>
        </w:rPr>
      </w:pPr>
    </w:p>
    <w:p w14:paraId="3272F0CC" w14:textId="4C0F4BDB" w:rsidR="009A5E59" w:rsidRPr="00E05E55" w:rsidRDefault="00BA28D5" w:rsidP="009A5E59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E05E55">
        <w:rPr>
          <w:rFonts w:ascii="Verdana" w:hAnsi="Verdana"/>
          <w:b/>
          <w:bCs/>
          <w:sz w:val="18"/>
          <w:szCs w:val="18"/>
        </w:rPr>
        <w:lastRenderedPageBreak/>
        <w:t>Bibliografia</w:t>
      </w:r>
      <w:proofErr w:type="spellEnd"/>
      <w:r w:rsidR="009A5E59" w:rsidRPr="00E05E55">
        <w:rPr>
          <w:rFonts w:ascii="Verdana" w:hAnsi="Verdana"/>
          <w:b/>
          <w:bCs/>
          <w:sz w:val="18"/>
          <w:szCs w:val="18"/>
        </w:rPr>
        <w:t>:</w:t>
      </w:r>
    </w:p>
    <w:p w14:paraId="7E8CA2FD" w14:textId="77777777" w:rsidR="009A5E59" w:rsidRPr="00E05E55" w:rsidRDefault="009A5E59" w:rsidP="009A5E59">
      <w:pPr>
        <w:rPr>
          <w:rFonts w:ascii="Verdana" w:hAnsi="Verdana"/>
          <w:sz w:val="18"/>
          <w:szCs w:val="18"/>
        </w:rPr>
      </w:pPr>
    </w:p>
    <w:p w14:paraId="7455BECA" w14:textId="301F91FC" w:rsidR="00803D22" w:rsidRPr="007A6245" w:rsidRDefault="009A5E59" w:rsidP="00256D4A">
      <w:pPr>
        <w:spacing w:before="100" w:beforeAutospacing="1" w:after="100" w:afterAutospacing="1"/>
        <w:contextualSpacing/>
        <w:jc w:val="both"/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</w:pPr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(1). Palacios S, Regidor PA,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Colli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E,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Skouby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SO,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Apter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D,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Roemer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T,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Egarter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C,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Nappi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RE,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Skřivánek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A, Jakimiuk AJ,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Weyers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S,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Ács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N, Elia D,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GemzellDanielsson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K, </w:t>
      </w:r>
      <w:proofErr w:type="spellStart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>Bitzer</w:t>
      </w:r>
      <w:proofErr w:type="spellEnd"/>
      <w:r w:rsidRPr="00E05E5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J.</w:t>
      </w:r>
      <w:r w:rsidR="00FA74E8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Oestrogen</w:t>
      </w:r>
      <w:proofErr w:type="spellEnd"/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-free oral contraception with a 4 micrograms </w:t>
      </w:r>
      <w:proofErr w:type="spellStart"/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drospirenone</w:t>
      </w:r>
      <w:proofErr w:type="spellEnd"/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-only pill: new data and a review of the literature. </w:t>
      </w:r>
      <w:proofErr w:type="spellStart"/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Europ</w:t>
      </w:r>
      <w:proofErr w:type="spellEnd"/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J Contraception &amp;</w:t>
      </w:r>
      <w:proofErr w:type="spellStart"/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Reprod</w:t>
      </w:r>
      <w:proofErr w:type="spellEnd"/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Health Care.</w:t>
      </w:r>
    </w:p>
    <w:p w14:paraId="18854764" w14:textId="77777777" w:rsidR="00803D22" w:rsidRPr="007A6245" w:rsidRDefault="00803D22" w:rsidP="00803D22">
      <w:pPr>
        <w:spacing w:before="100" w:beforeAutospacing="1" w:after="100" w:afterAutospacing="1"/>
        <w:contextualSpacing/>
        <w:jc w:val="both"/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</w:pPr>
    </w:p>
    <w:p w14:paraId="7E0BC410" w14:textId="410CE3B7" w:rsidR="00803D22" w:rsidRPr="007A6245" w:rsidRDefault="00803D22" w:rsidP="00803D22">
      <w:pPr>
        <w:spacing w:before="100" w:beforeAutospacing="1" w:after="100" w:afterAutospacing="1"/>
        <w:contextualSpacing/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</w:pPr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(2). </w:t>
      </w:r>
      <w:proofErr w:type="spellStart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Lidegaard</w:t>
      </w:r>
      <w:proofErr w:type="spellEnd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Ø, </w:t>
      </w:r>
      <w:proofErr w:type="spellStart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Løkkegaard</w:t>
      </w:r>
      <w:proofErr w:type="spellEnd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E, </w:t>
      </w:r>
      <w:proofErr w:type="spellStart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Svendsen</w:t>
      </w:r>
      <w:proofErr w:type="spellEnd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AL, </w:t>
      </w:r>
      <w:proofErr w:type="spellStart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Agger</w:t>
      </w:r>
      <w:proofErr w:type="spellEnd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C, BMJ. 2009 Aug 13; 339():b2890.</w:t>
      </w:r>
      <w:r w:rsidR="00E933DB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</w:t>
      </w:r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it-IT"/>
        </w:rPr>
        <w:t xml:space="preserve">Regidor PA, Colli E, Schindler AE. </w:t>
      </w:r>
      <w:proofErr w:type="spellStart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Drospirenone</w:t>
      </w:r>
      <w:proofErr w:type="spellEnd"/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as estrogen-free pill an</w:t>
      </w:r>
      <w:r w:rsidR="00E933DB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d hemostasis: </w:t>
      </w:r>
      <w:proofErr w:type="spellStart"/>
      <w:r w:rsidR="00E933DB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coagulatory</w:t>
      </w:r>
      <w:proofErr w:type="spellEnd"/>
      <w:r w:rsidR="00E933DB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 xml:space="preserve"> study </w:t>
      </w:r>
      <w:r w:rsidRPr="007A6245">
        <w:rPr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results comparing</w:t>
      </w:r>
    </w:p>
    <w:p w14:paraId="246D91B3" w14:textId="77777777" w:rsidR="00803D22" w:rsidRPr="007A6245" w:rsidRDefault="00803D22" w:rsidP="00803D22">
      <w:pPr>
        <w:spacing w:before="100" w:beforeAutospacing="1" w:after="100" w:afterAutospacing="1"/>
        <w:contextualSpacing/>
        <w:jc w:val="both"/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</w:pPr>
    </w:p>
    <w:p w14:paraId="1A7B4B7C" w14:textId="77777777" w:rsidR="009A5E59" w:rsidRPr="007A6245" w:rsidRDefault="009A5E59" w:rsidP="00803D22">
      <w:pPr>
        <w:spacing w:before="100" w:beforeAutospacing="1" w:after="100" w:afterAutospacing="1"/>
        <w:contextualSpacing/>
        <w:jc w:val="both"/>
        <w:rPr>
          <w:rFonts w:ascii="Verdana" w:hAnsi="Verdana" w:cstheme="minorHAnsi"/>
          <w:i/>
          <w:color w:val="7F7F7F" w:themeColor="text1" w:themeTint="80"/>
          <w:sz w:val="18"/>
          <w:szCs w:val="18"/>
        </w:rPr>
      </w:pPr>
      <w:r w:rsidRPr="007A6245">
        <w:rPr>
          <w:rStyle w:val="Fuentedeprrafopredeter"/>
          <w:rFonts w:ascii="Verdana" w:hAnsi="Verdana" w:cstheme="minorHAnsi"/>
          <w:i/>
          <w:color w:val="7F7F7F" w:themeColor="text1" w:themeTint="80"/>
          <w:sz w:val="18"/>
          <w:szCs w:val="18"/>
          <w:lang w:val="en-US"/>
        </w:rPr>
        <w:t>https://doi.org/10.1080/13625187.2020.1743828.</w:t>
      </w:r>
    </w:p>
    <w:p w14:paraId="070B8428" w14:textId="77777777" w:rsidR="009A5E59" w:rsidRPr="007A6245" w:rsidRDefault="00D648E1" w:rsidP="00803D22">
      <w:pPr>
        <w:spacing w:before="100" w:beforeAutospacing="1" w:after="100" w:afterAutospacing="1"/>
        <w:contextualSpacing/>
        <w:rPr>
          <w:rFonts w:ascii="Verdana" w:hAnsi="Verdana" w:cstheme="minorHAnsi"/>
          <w:i/>
          <w:color w:val="7F7F7F" w:themeColor="text1" w:themeTint="80"/>
          <w:sz w:val="18"/>
          <w:szCs w:val="18"/>
        </w:rPr>
      </w:pPr>
      <w:hyperlink r:id="rId6" w:history="1">
        <w:r w:rsidR="009A5E59" w:rsidRPr="007A6245">
          <w:rPr>
            <w:rStyle w:val="Hipervnculo"/>
            <w:rFonts w:ascii="Verdana" w:hAnsi="Verdana" w:cstheme="minorHAnsi"/>
            <w:i/>
            <w:color w:val="7F7F7F" w:themeColor="text1" w:themeTint="80"/>
            <w:sz w:val="18"/>
            <w:szCs w:val="18"/>
          </w:rPr>
          <w:t>https://www.tandfonline.com/doi/pdf/10.1080/17512433.2020.1782738</w:t>
        </w:r>
      </w:hyperlink>
    </w:p>
    <w:p w14:paraId="5FD9972B" w14:textId="77777777" w:rsidR="009A5E59" w:rsidRPr="007A6245" w:rsidRDefault="00D648E1" w:rsidP="00803D22">
      <w:pPr>
        <w:spacing w:before="100" w:beforeAutospacing="1" w:after="100" w:afterAutospacing="1"/>
        <w:contextualSpacing/>
        <w:rPr>
          <w:rFonts w:ascii="Verdana" w:hAnsi="Verdana" w:cstheme="minorHAnsi"/>
          <w:i/>
          <w:color w:val="7F7F7F" w:themeColor="text1" w:themeTint="80"/>
          <w:sz w:val="18"/>
          <w:szCs w:val="18"/>
        </w:rPr>
      </w:pPr>
      <w:hyperlink r:id="rId7" w:history="1">
        <w:r w:rsidR="009A5E59" w:rsidRPr="007A6245">
          <w:rPr>
            <w:rStyle w:val="Hipervnculo"/>
            <w:rFonts w:ascii="Verdana" w:hAnsi="Verdana" w:cstheme="minorHAnsi"/>
            <w:i/>
            <w:color w:val="7F7F7F" w:themeColor="text1" w:themeTint="80"/>
            <w:sz w:val="18"/>
            <w:szCs w:val="18"/>
          </w:rPr>
          <w:t>https://www.brighamhealthonamission.org/2020/05/19/covid-19-increases-risk-for-venous-thromboembolism/</w:t>
        </w:r>
      </w:hyperlink>
    </w:p>
    <w:p w14:paraId="39894601" w14:textId="77777777" w:rsidR="009A5E59" w:rsidRPr="007A6245" w:rsidRDefault="00D648E1" w:rsidP="00803D22">
      <w:pPr>
        <w:spacing w:before="100" w:beforeAutospacing="1" w:after="100" w:afterAutospacing="1"/>
        <w:contextualSpacing/>
        <w:rPr>
          <w:rFonts w:ascii="Verdana" w:hAnsi="Verdana" w:cstheme="minorHAnsi"/>
          <w:i/>
          <w:color w:val="7F7F7F" w:themeColor="text1" w:themeTint="80"/>
          <w:sz w:val="18"/>
          <w:szCs w:val="18"/>
        </w:rPr>
      </w:pPr>
      <w:hyperlink r:id="rId8" w:history="1">
        <w:r w:rsidR="009A5E59" w:rsidRPr="007A6245">
          <w:rPr>
            <w:rStyle w:val="Hipervnculo"/>
            <w:rFonts w:ascii="Verdana" w:hAnsi="Verdana" w:cstheme="minorHAnsi"/>
            <w:i/>
            <w:color w:val="7F7F7F" w:themeColor="text1" w:themeTint="80"/>
            <w:sz w:val="18"/>
            <w:szCs w:val="18"/>
          </w:rPr>
          <w:t>https://www.brighamhealthonamission.org/2020/05/19/covid-19-increases-risk-for-venous-thromboembolism/</w:t>
        </w:r>
      </w:hyperlink>
    </w:p>
    <w:p w14:paraId="624F7817" w14:textId="77777777" w:rsidR="009A5E59" w:rsidRPr="007A6245" w:rsidRDefault="00D648E1" w:rsidP="00803D22">
      <w:pPr>
        <w:spacing w:before="100" w:beforeAutospacing="1" w:after="100" w:afterAutospacing="1"/>
        <w:contextualSpacing/>
        <w:rPr>
          <w:rFonts w:ascii="Verdana" w:hAnsi="Verdana" w:cstheme="minorHAnsi"/>
          <w:i/>
          <w:color w:val="7F7F7F" w:themeColor="text1" w:themeTint="80"/>
          <w:sz w:val="18"/>
          <w:szCs w:val="18"/>
        </w:rPr>
      </w:pPr>
      <w:hyperlink r:id="rId9" w:history="1">
        <w:r w:rsidR="009A5E59" w:rsidRPr="007A6245">
          <w:rPr>
            <w:rStyle w:val="Hipervnculo"/>
            <w:rFonts w:ascii="Verdana" w:hAnsi="Verdana" w:cstheme="minorHAnsi"/>
            <w:i/>
            <w:color w:val="7F7F7F" w:themeColor="text1" w:themeTint="80"/>
            <w:sz w:val="18"/>
            <w:szCs w:val="18"/>
          </w:rPr>
          <w:t>https://www.ncbi.nlm.nih.gov/pmc/articles/PMC7224653/</w:t>
        </w:r>
      </w:hyperlink>
    </w:p>
    <w:p w14:paraId="1DBF017E" w14:textId="77777777" w:rsidR="009A5E59" w:rsidRPr="007A6245" w:rsidRDefault="00D648E1" w:rsidP="00803D22">
      <w:pPr>
        <w:spacing w:before="100" w:beforeAutospacing="1" w:after="100" w:afterAutospacing="1"/>
        <w:contextualSpacing/>
        <w:rPr>
          <w:rFonts w:ascii="Verdana" w:hAnsi="Verdana" w:cstheme="minorHAnsi"/>
          <w:i/>
          <w:color w:val="7F7F7F" w:themeColor="text1" w:themeTint="80"/>
          <w:sz w:val="18"/>
          <w:szCs w:val="18"/>
        </w:rPr>
      </w:pPr>
      <w:hyperlink r:id="rId10" w:history="1">
        <w:r w:rsidR="009A5E59" w:rsidRPr="007A6245">
          <w:rPr>
            <w:rStyle w:val="Hipervnculo"/>
            <w:rFonts w:ascii="Verdana" w:hAnsi="Verdana" w:cstheme="minorHAnsi"/>
            <w:i/>
            <w:color w:val="7F7F7F" w:themeColor="text1" w:themeTint="80"/>
            <w:sz w:val="18"/>
            <w:szCs w:val="18"/>
          </w:rPr>
          <w:t>https://www.hematology.org/covid-19/covid-19-and-vte-anticoagulation</w:t>
        </w:r>
      </w:hyperlink>
    </w:p>
    <w:p w14:paraId="43A91145" w14:textId="77777777" w:rsidR="009A5E59" w:rsidRPr="007A6245" w:rsidRDefault="00D648E1" w:rsidP="00803D22">
      <w:pPr>
        <w:spacing w:before="100" w:beforeAutospacing="1" w:after="100" w:afterAutospacing="1"/>
        <w:contextualSpacing/>
        <w:rPr>
          <w:rFonts w:ascii="Verdana" w:hAnsi="Verdana" w:cstheme="minorHAnsi"/>
          <w:i/>
          <w:color w:val="7F7F7F" w:themeColor="text1" w:themeTint="80"/>
          <w:sz w:val="18"/>
          <w:szCs w:val="18"/>
        </w:rPr>
      </w:pPr>
      <w:hyperlink r:id="rId11" w:history="1">
        <w:r w:rsidR="009A5E59" w:rsidRPr="007A6245">
          <w:rPr>
            <w:rStyle w:val="Hipervnculo"/>
            <w:rFonts w:ascii="Verdana" w:hAnsi="Verdana" w:cstheme="minorHAnsi"/>
            <w:i/>
            <w:color w:val="7F7F7F" w:themeColor="text1" w:themeTint="80"/>
            <w:sz w:val="18"/>
            <w:szCs w:val="18"/>
          </w:rPr>
          <w:t>https://www.news-medical.net/health/Blood-Clot-Risk-and-the-Oral-Contraceptive-Pill.aspx</w:t>
        </w:r>
      </w:hyperlink>
    </w:p>
    <w:p w14:paraId="48085D61" w14:textId="77777777" w:rsidR="009A5E59" w:rsidRPr="007A6245" w:rsidRDefault="00D648E1" w:rsidP="00803D22">
      <w:pPr>
        <w:spacing w:before="100" w:beforeAutospacing="1" w:after="100" w:afterAutospacing="1"/>
        <w:contextualSpacing/>
        <w:rPr>
          <w:rFonts w:ascii="Verdana" w:hAnsi="Verdana" w:cstheme="minorHAnsi"/>
          <w:i/>
          <w:color w:val="7F7F7F" w:themeColor="text1" w:themeTint="80"/>
          <w:sz w:val="18"/>
          <w:szCs w:val="18"/>
        </w:rPr>
      </w:pPr>
      <w:hyperlink r:id="rId12" w:history="1">
        <w:r w:rsidR="009A5E59" w:rsidRPr="007A6245">
          <w:rPr>
            <w:rStyle w:val="Hipervnculo"/>
            <w:rFonts w:ascii="Verdana" w:hAnsi="Verdana" w:cstheme="minorHAnsi"/>
            <w:i/>
            <w:color w:val="7F7F7F" w:themeColor="text1" w:themeTint="80"/>
            <w:sz w:val="18"/>
            <w:szCs w:val="18"/>
          </w:rPr>
          <w:t>https://www.ncbi.nlm.nih.gov/pmc/articles/PMC3025417/</w:t>
        </w:r>
      </w:hyperlink>
    </w:p>
    <w:p w14:paraId="03F33FDD" w14:textId="77777777" w:rsidR="009A5E59" w:rsidRPr="007A6245" w:rsidRDefault="009A5E59" w:rsidP="009A5E59">
      <w:pPr>
        <w:rPr>
          <w:rFonts w:ascii="Verdana" w:hAnsi="Verdana"/>
          <w:sz w:val="18"/>
          <w:szCs w:val="18"/>
        </w:rPr>
      </w:pPr>
    </w:p>
    <w:p w14:paraId="25E5AACC" w14:textId="77777777" w:rsidR="003C3A18" w:rsidRPr="007A6245" w:rsidRDefault="003C3A18">
      <w:pPr>
        <w:rPr>
          <w:rFonts w:ascii="Verdana" w:hAnsi="Verdana"/>
          <w:sz w:val="18"/>
          <w:szCs w:val="18"/>
        </w:rPr>
      </w:pPr>
    </w:p>
    <w:sectPr w:rsidR="003C3A18" w:rsidRPr="007A6245" w:rsidSect="00E8715A">
      <w:pgSz w:w="12240" w:h="15840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78B880" w16cid:durableId="22F8D7F8"/>
  <w16cid:commentId w16cid:paraId="586F3CE0" w16cid:durableId="22F8D6F4"/>
  <w16cid:commentId w16cid:paraId="62A287F5" w16cid:durableId="22F8D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532"/>
    <w:multiLevelType w:val="multilevel"/>
    <w:tmpl w:val="F800C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493B1B"/>
    <w:multiLevelType w:val="hybridMultilevel"/>
    <w:tmpl w:val="7B422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72A8"/>
    <w:multiLevelType w:val="multilevel"/>
    <w:tmpl w:val="E3A82D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9"/>
    <w:rsid w:val="000707E8"/>
    <w:rsid w:val="000C4F27"/>
    <w:rsid w:val="001047EA"/>
    <w:rsid w:val="001102E1"/>
    <w:rsid w:val="00177375"/>
    <w:rsid w:val="00181B0D"/>
    <w:rsid w:val="00185D2B"/>
    <w:rsid w:val="001861B9"/>
    <w:rsid w:val="00194544"/>
    <w:rsid w:val="002028D7"/>
    <w:rsid w:val="00206AED"/>
    <w:rsid w:val="00245273"/>
    <w:rsid w:val="00256D4A"/>
    <w:rsid w:val="002D3F75"/>
    <w:rsid w:val="003072B4"/>
    <w:rsid w:val="00317EA3"/>
    <w:rsid w:val="00324987"/>
    <w:rsid w:val="00332E4D"/>
    <w:rsid w:val="003407F4"/>
    <w:rsid w:val="00345184"/>
    <w:rsid w:val="00357544"/>
    <w:rsid w:val="00360436"/>
    <w:rsid w:val="0036346B"/>
    <w:rsid w:val="0038528D"/>
    <w:rsid w:val="003A0025"/>
    <w:rsid w:val="003C12AE"/>
    <w:rsid w:val="003C3A18"/>
    <w:rsid w:val="003E043F"/>
    <w:rsid w:val="003F3779"/>
    <w:rsid w:val="003F6532"/>
    <w:rsid w:val="00414E94"/>
    <w:rsid w:val="00443B3A"/>
    <w:rsid w:val="00465539"/>
    <w:rsid w:val="004658A3"/>
    <w:rsid w:val="00470154"/>
    <w:rsid w:val="004C63C4"/>
    <w:rsid w:val="004F3775"/>
    <w:rsid w:val="00513C07"/>
    <w:rsid w:val="00517F99"/>
    <w:rsid w:val="00530CFC"/>
    <w:rsid w:val="00563E8B"/>
    <w:rsid w:val="005717C3"/>
    <w:rsid w:val="00586C5C"/>
    <w:rsid w:val="005A61E4"/>
    <w:rsid w:val="005B34F1"/>
    <w:rsid w:val="005C7C2B"/>
    <w:rsid w:val="005E3CB8"/>
    <w:rsid w:val="005F6E57"/>
    <w:rsid w:val="00651829"/>
    <w:rsid w:val="006972EE"/>
    <w:rsid w:val="006C3C45"/>
    <w:rsid w:val="0070423B"/>
    <w:rsid w:val="0076050F"/>
    <w:rsid w:val="00786F90"/>
    <w:rsid w:val="007A1254"/>
    <w:rsid w:val="007A6245"/>
    <w:rsid w:val="007A783D"/>
    <w:rsid w:val="007E4C66"/>
    <w:rsid w:val="007E5C87"/>
    <w:rsid w:val="00802C02"/>
    <w:rsid w:val="00803D22"/>
    <w:rsid w:val="00830B41"/>
    <w:rsid w:val="0084061E"/>
    <w:rsid w:val="0084157E"/>
    <w:rsid w:val="00843073"/>
    <w:rsid w:val="00845717"/>
    <w:rsid w:val="00922E3C"/>
    <w:rsid w:val="009313BF"/>
    <w:rsid w:val="00935389"/>
    <w:rsid w:val="00953810"/>
    <w:rsid w:val="00977A01"/>
    <w:rsid w:val="009A5E59"/>
    <w:rsid w:val="00A112F8"/>
    <w:rsid w:val="00A129E9"/>
    <w:rsid w:val="00A853C6"/>
    <w:rsid w:val="00A93B09"/>
    <w:rsid w:val="00AA1D2E"/>
    <w:rsid w:val="00AA2299"/>
    <w:rsid w:val="00AA5786"/>
    <w:rsid w:val="00AA759E"/>
    <w:rsid w:val="00AB4BB2"/>
    <w:rsid w:val="00B61182"/>
    <w:rsid w:val="00B63FF6"/>
    <w:rsid w:val="00B86D5B"/>
    <w:rsid w:val="00BA28D5"/>
    <w:rsid w:val="00BB1952"/>
    <w:rsid w:val="00BB3CF4"/>
    <w:rsid w:val="00BC04F7"/>
    <w:rsid w:val="00BC53C5"/>
    <w:rsid w:val="00C41406"/>
    <w:rsid w:val="00C52B0A"/>
    <w:rsid w:val="00C725BE"/>
    <w:rsid w:val="00CE1B37"/>
    <w:rsid w:val="00D0443D"/>
    <w:rsid w:val="00D31D99"/>
    <w:rsid w:val="00D578A6"/>
    <w:rsid w:val="00D647C8"/>
    <w:rsid w:val="00D648E1"/>
    <w:rsid w:val="00D70FF5"/>
    <w:rsid w:val="00DB2983"/>
    <w:rsid w:val="00DB518F"/>
    <w:rsid w:val="00DC7DFA"/>
    <w:rsid w:val="00DD2637"/>
    <w:rsid w:val="00E05E55"/>
    <w:rsid w:val="00E15AE9"/>
    <w:rsid w:val="00E3380A"/>
    <w:rsid w:val="00E365A0"/>
    <w:rsid w:val="00E42824"/>
    <w:rsid w:val="00E5320F"/>
    <w:rsid w:val="00E622B8"/>
    <w:rsid w:val="00E865AA"/>
    <w:rsid w:val="00E8715A"/>
    <w:rsid w:val="00E933DB"/>
    <w:rsid w:val="00EA76D4"/>
    <w:rsid w:val="00EB37C2"/>
    <w:rsid w:val="00EB38CB"/>
    <w:rsid w:val="00EB6F62"/>
    <w:rsid w:val="00EC74D1"/>
    <w:rsid w:val="00F13629"/>
    <w:rsid w:val="00F217E7"/>
    <w:rsid w:val="00F2213D"/>
    <w:rsid w:val="00F221D2"/>
    <w:rsid w:val="00F42117"/>
    <w:rsid w:val="00F54ED0"/>
    <w:rsid w:val="00FA74E8"/>
    <w:rsid w:val="00FB61DB"/>
    <w:rsid w:val="00FF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72D2"/>
  <w15:docId w15:val="{B226122C-9030-4395-AACC-EE32704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59"/>
    <w:pP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rsid w:val="009A5E59"/>
    <w:pPr>
      <w:spacing w:before="100" w:after="100"/>
      <w:outlineLvl w:val="0"/>
    </w:pPr>
    <w:rPr>
      <w:rFonts w:ascii="Times New Roman" w:hAnsi="Times New Roman" w:cs="Times New Roman"/>
      <w:b/>
      <w:bCs/>
      <w:kern w:val="3"/>
      <w:sz w:val="48"/>
      <w:szCs w:val="48"/>
      <w:lang w:eastAsia="es-ES"/>
    </w:rPr>
  </w:style>
  <w:style w:type="character" w:customStyle="1" w:styleId="Fuentedeprrafopredeter">
    <w:name w:val="Fuente de párrafo predeter."/>
    <w:rsid w:val="009A5E59"/>
  </w:style>
  <w:style w:type="paragraph" w:customStyle="1" w:styleId="Prrafodelista">
    <w:name w:val="Párrafo de lista"/>
    <w:basedOn w:val="Normal"/>
    <w:rsid w:val="009A5E59"/>
    <w:pPr>
      <w:spacing w:after="160" w:line="36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A5E59"/>
    <w:pPr>
      <w:suppressAutoHyphens/>
      <w:autoSpaceDE w:val="0"/>
      <w:autoSpaceDN w:val="0"/>
      <w:textAlignment w:val="baseline"/>
    </w:pPr>
    <w:rPr>
      <w:rFonts w:ascii="Roboto" w:eastAsia="Calibri" w:hAnsi="Roboto" w:cs="Roboto"/>
      <w:color w:val="000000"/>
      <w:lang w:val="es-ES"/>
    </w:rPr>
  </w:style>
  <w:style w:type="character" w:customStyle="1" w:styleId="Hipervnculo">
    <w:name w:val="Hipervínculo"/>
    <w:basedOn w:val="Fuentedeprrafopredeter"/>
    <w:rsid w:val="009A5E59"/>
    <w:rPr>
      <w:color w:val="0563C1"/>
      <w:u w:val="single"/>
    </w:rPr>
  </w:style>
  <w:style w:type="paragraph" w:customStyle="1" w:styleId="Textosinformato">
    <w:name w:val="Texto sin formato"/>
    <w:basedOn w:val="Normal"/>
    <w:rsid w:val="009A5E59"/>
    <w:rPr>
      <w:rFonts w:cs="Ari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2"/>
    <w:rPr>
      <w:rFonts w:ascii="Tahoma" w:eastAsia="Calibri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A5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86"/>
    <w:rPr>
      <w:rFonts w:ascii="Calibri" w:eastAsia="Calibri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86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BC53C5"/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amhealthonamission.org/2020/05/19/covid-19-increases-risk-for-venous-thromboembolism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brighamhealthonamission.org/2020/05/19/covid-19-increases-risk-for-venous-thromboembolism/" TargetMode="External"/><Relationship Id="rId12" Type="http://schemas.openxmlformats.org/officeDocument/2006/relationships/hyperlink" Target="https://www.ncbi.nlm.nih.gov/pmc/articles/PMC30254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dfonline.com/doi/pdf/10.1080/17512433.2020.1782738" TargetMode="External"/><Relationship Id="rId11" Type="http://schemas.openxmlformats.org/officeDocument/2006/relationships/hyperlink" Target="https://www.news-medical.net/health/Blood-Clot-Risk-and-the-Oral-Contraceptive-Pill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ematology.org/covid-19/covid-19-and-vte-anticoag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72246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3C81-DEFC-44AE-A40C-770D915C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Mittmann</dc:creator>
  <cp:keywords/>
  <dc:description/>
  <cp:lastModifiedBy>Katarzyna Puchacz</cp:lastModifiedBy>
  <cp:revision>7</cp:revision>
  <dcterms:created xsi:type="dcterms:W3CDTF">2020-09-01T12:25:00Z</dcterms:created>
  <dcterms:modified xsi:type="dcterms:W3CDTF">2020-09-04T09:10:00Z</dcterms:modified>
</cp:coreProperties>
</file>